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897" w:rsidRPr="007B0897" w:rsidRDefault="007B0897" w:rsidP="007B0897">
      <w:pPr>
        <w:rPr>
          <w:lang w:val="pl-PL"/>
        </w:rPr>
      </w:pPr>
      <w:r w:rsidRPr="007B0897">
        <w:rPr>
          <w:lang w:val="pl-PL"/>
        </w:rPr>
        <w:tab/>
      </w:r>
      <w:r w:rsidRPr="007B0897">
        <w:rPr>
          <w:lang w:val="pl-PL"/>
        </w:rPr>
        <w:tab/>
      </w:r>
      <w:r w:rsidRPr="007B0897">
        <w:rPr>
          <w:lang w:val="pl-PL"/>
        </w:rPr>
        <w:tab/>
      </w:r>
      <w:r w:rsidRPr="007B0897">
        <w:rPr>
          <w:lang w:val="pl-PL"/>
        </w:rPr>
        <w:tab/>
      </w:r>
      <w:r w:rsidRPr="007B0897">
        <w:rPr>
          <w:lang w:val="pl-PL"/>
        </w:rPr>
        <w:tab/>
      </w:r>
      <w:r w:rsidRPr="007B0897">
        <w:rPr>
          <w:lang w:val="pl-PL"/>
        </w:rPr>
        <w:tab/>
      </w:r>
    </w:p>
    <w:p w:rsidR="007B0897" w:rsidRPr="007B0897" w:rsidRDefault="007B0897">
      <w:pPr>
        <w:rPr>
          <w:lang w:val="pl-PL"/>
        </w:rPr>
      </w:pPr>
    </w:p>
    <w:p w:rsidR="007B0897" w:rsidRPr="007B0897" w:rsidRDefault="007B0897">
      <w:pPr>
        <w:rPr>
          <w:lang w:val="pl-PL"/>
        </w:rPr>
      </w:pPr>
    </w:p>
    <w:p w:rsidR="007B0897" w:rsidRPr="007B0897" w:rsidRDefault="007B0897" w:rsidP="007B0897">
      <w:pPr>
        <w:jc w:val="center"/>
        <w:rPr>
          <w:b/>
          <w:lang w:val="pl-PL"/>
        </w:rPr>
      </w:pPr>
      <w:r w:rsidRPr="007B0897">
        <w:rPr>
          <w:b/>
          <w:lang w:val="pl-PL"/>
        </w:rPr>
        <w:t>J.W. Construction Holding</w:t>
      </w:r>
    </w:p>
    <w:p w:rsidR="007B0897" w:rsidRPr="007B0897" w:rsidRDefault="007B0897" w:rsidP="007B0897">
      <w:pPr>
        <w:jc w:val="center"/>
        <w:rPr>
          <w:b/>
          <w:lang w:val="pl-PL"/>
        </w:rPr>
      </w:pPr>
      <w:r w:rsidRPr="007B0897">
        <w:rPr>
          <w:b/>
          <w:lang w:val="pl-PL"/>
        </w:rPr>
        <w:t>Spółka Akcyjna</w:t>
      </w:r>
    </w:p>
    <w:p w:rsidR="00F4172C" w:rsidRPr="007B0897" w:rsidRDefault="007B0897" w:rsidP="007B0897">
      <w:pPr>
        <w:jc w:val="center"/>
        <w:rPr>
          <w:b/>
          <w:lang w:val="pl-PL"/>
        </w:rPr>
      </w:pPr>
      <w:r w:rsidRPr="007B0897">
        <w:rPr>
          <w:b/>
          <w:lang w:val="pl-PL"/>
        </w:rPr>
        <w:t>ul. Radzymińska 326, 05-091 Ząbki</w:t>
      </w:r>
    </w:p>
    <w:p w:rsidR="007B0897" w:rsidRPr="007B0897" w:rsidRDefault="007B0897" w:rsidP="007B0897">
      <w:pPr>
        <w:jc w:val="center"/>
        <w:rPr>
          <w:b/>
          <w:lang w:val="pl-PL"/>
        </w:rPr>
      </w:pPr>
    </w:p>
    <w:p w:rsidR="007B0897" w:rsidRPr="007B0897" w:rsidRDefault="007B0897" w:rsidP="007B0897">
      <w:pPr>
        <w:jc w:val="center"/>
        <w:rPr>
          <w:b/>
          <w:lang w:val="pl-PL"/>
        </w:rPr>
      </w:pPr>
    </w:p>
    <w:p w:rsidR="007B0897" w:rsidRPr="007B0897" w:rsidRDefault="007B0897" w:rsidP="007B0897">
      <w:pPr>
        <w:jc w:val="center"/>
        <w:rPr>
          <w:b/>
          <w:lang w:val="pl-PL"/>
        </w:rPr>
      </w:pPr>
    </w:p>
    <w:p w:rsidR="007B0897" w:rsidRPr="007B0897" w:rsidRDefault="007B0897" w:rsidP="007B0897">
      <w:pPr>
        <w:jc w:val="center"/>
        <w:rPr>
          <w:b/>
        </w:rPr>
      </w:pPr>
      <w:r w:rsidRPr="007B0897">
        <w:rPr>
          <w:b/>
        </w:rPr>
        <w:t>Opinion and report of an independent</w:t>
      </w:r>
    </w:p>
    <w:p w:rsidR="007B0897" w:rsidRPr="007B0897" w:rsidRDefault="007B0897" w:rsidP="007B0897">
      <w:pPr>
        <w:jc w:val="center"/>
        <w:rPr>
          <w:b/>
        </w:rPr>
      </w:pPr>
      <w:r w:rsidRPr="007B0897">
        <w:rPr>
          <w:b/>
        </w:rPr>
        <w:t>certified auditor on the audit of the financial statement</w:t>
      </w:r>
    </w:p>
    <w:p w:rsidR="007B0897" w:rsidRPr="007B0897" w:rsidRDefault="007B0897" w:rsidP="007B0897">
      <w:pPr>
        <w:jc w:val="center"/>
        <w:rPr>
          <w:b/>
        </w:rPr>
      </w:pPr>
      <w:r w:rsidRPr="007B0897">
        <w:rPr>
          <w:b/>
        </w:rPr>
        <w:t>for the business year ending on December 31, 2014</w:t>
      </w:r>
    </w:p>
    <w:p w:rsidR="007B0897" w:rsidRDefault="007B0897" w:rsidP="007B0897">
      <w:pPr>
        <w:jc w:val="center"/>
      </w:pPr>
    </w:p>
    <w:p w:rsidR="007B0897" w:rsidRDefault="007B0897" w:rsidP="007B0897">
      <w:pPr>
        <w:jc w:val="center"/>
      </w:pPr>
    </w:p>
    <w:p w:rsidR="007B0897" w:rsidRDefault="007B0897" w:rsidP="007B0897">
      <w:pPr>
        <w:jc w:val="center"/>
      </w:pPr>
    </w:p>
    <w:p w:rsidR="007B0897" w:rsidRDefault="007B0897" w:rsidP="007B0897">
      <w:pPr>
        <w:jc w:val="center"/>
      </w:pPr>
    </w:p>
    <w:p w:rsidR="007B0897" w:rsidRDefault="007B0897" w:rsidP="007B0897">
      <w:pPr>
        <w:jc w:val="center"/>
      </w:pPr>
    </w:p>
    <w:p w:rsidR="007B0897" w:rsidRDefault="007B0897" w:rsidP="007B0897">
      <w:pPr>
        <w:jc w:val="center"/>
      </w:pPr>
    </w:p>
    <w:p w:rsidR="007B0897" w:rsidRDefault="007B0897" w:rsidP="007B0897">
      <w:pPr>
        <w:jc w:val="center"/>
      </w:pPr>
    </w:p>
    <w:p w:rsidR="007B0897" w:rsidRDefault="007B0897" w:rsidP="007B0897">
      <w:pPr>
        <w:jc w:val="center"/>
      </w:pPr>
    </w:p>
    <w:p w:rsidR="007B0897" w:rsidRDefault="007B0897" w:rsidP="007B0897">
      <w:pPr>
        <w:jc w:val="center"/>
      </w:pPr>
    </w:p>
    <w:p w:rsidR="007B0897" w:rsidRDefault="007B0897" w:rsidP="007B0897">
      <w:pPr>
        <w:jc w:val="center"/>
      </w:pPr>
    </w:p>
    <w:p w:rsidR="007B0897" w:rsidRDefault="007B0897" w:rsidP="007B0897">
      <w:pPr>
        <w:jc w:val="center"/>
      </w:pPr>
    </w:p>
    <w:p w:rsidR="007B0897" w:rsidRDefault="007B0897" w:rsidP="007B0897">
      <w:pPr>
        <w:jc w:val="center"/>
      </w:pPr>
    </w:p>
    <w:p w:rsidR="007B0897" w:rsidRDefault="007B0897" w:rsidP="007B0897">
      <w:pPr>
        <w:jc w:val="center"/>
      </w:pPr>
    </w:p>
    <w:p w:rsidR="007B0897" w:rsidRDefault="007B0897" w:rsidP="007B0897">
      <w:pPr>
        <w:jc w:val="center"/>
        <w:rPr>
          <w:b/>
        </w:rPr>
      </w:pPr>
      <w:r>
        <w:rPr>
          <w:b/>
        </w:rPr>
        <w:lastRenderedPageBreak/>
        <w:t>OPINION OF INDEPENDENT CERTIFIED AUDITOR</w:t>
      </w:r>
    </w:p>
    <w:p w:rsidR="00494D3F" w:rsidRDefault="007B0897" w:rsidP="007B0897">
      <w:pPr>
        <w:jc w:val="center"/>
        <w:rPr>
          <w:b/>
        </w:rPr>
      </w:pPr>
      <w:r>
        <w:rPr>
          <w:b/>
        </w:rPr>
        <w:t>for the Meeting of Shareholders</w:t>
      </w:r>
      <w:r w:rsidR="00494D3F">
        <w:rPr>
          <w:b/>
        </w:rPr>
        <w:t xml:space="preserve"> </w:t>
      </w:r>
    </w:p>
    <w:p w:rsidR="007B0897" w:rsidRDefault="00494D3F" w:rsidP="007B0897">
      <w:pPr>
        <w:jc w:val="center"/>
        <w:rPr>
          <w:b/>
        </w:rPr>
      </w:pPr>
      <w:r>
        <w:rPr>
          <w:b/>
        </w:rPr>
        <w:t>and J.W. Construction Holding S.A. Supervisory Board</w:t>
      </w:r>
    </w:p>
    <w:p w:rsidR="00494D3F" w:rsidRDefault="00494D3F" w:rsidP="007B0897">
      <w:pPr>
        <w:jc w:val="center"/>
        <w:rPr>
          <w:b/>
        </w:rPr>
      </w:pPr>
    </w:p>
    <w:p w:rsidR="00494D3F" w:rsidRDefault="00494D3F" w:rsidP="00494D3F">
      <w:r>
        <w:rPr>
          <w:b/>
        </w:rPr>
        <w:tab/>
      </w:r>
      <w:r>
        <w:t>We have conducted the audit of the attached financial statement of J.W. Construction Holding S.A., hereinafter referred to as Company, with its registered office in Ząbki at 326 Radzymińska street, Poland that consists of:</w:t>
      </w:r>
    </w:p>
    <w:p w:rsidR="00494D3F" w:rsidRDefault="00494D3F" w:rsidP="00494D3F">
      <w:pPr>
        <w:pStyle w:val="ListParagraph"/>
        <w:numPr>
          <w:ilvl w:val="0"/>
          <w:numId w:val="1"/>
        </w:numPr>
      </w:pPr>
      <w:r>
        <w:t>the introduction to the financial statement,</w:t>
      </w:r>
    </w:p>
    <w:p w:rsidR="00494D3F" w:rsidRDefault="00494D3F" w:rsidP="00494D3F">
      <w:pPr>
        <w:pStyle w:val="ListParagraph"/>
        <w:numPr>
          <w:ilvl w:val="0"/>
          <w:numId w:val="1"/>
        </w:numPr>
      </w:pPr>
      <w:r>
        <w:t>report on the financial situation as of December 31, 2014,</w:t>
      </w:r>
    </w:p>
    <w:p w:rsidR="00494D3F" w:rsidRDefault="00494D3F" w:rsidP="00494D3F">
      <w:pPr>
        <w:pStyle w:val="ListParagraph"/>
        <w:numPr>
          <w:ilvl w:val="0"/>
          <w:numId w:val="1"/>
        </w:numPr>
      </w:pPr>
      <w:r>
        <w:t>profit and loss account for the business year ending on December 31, 2014,</w:t>
      </w:r>
    </w:p>
    <w:p w:rsidR="00494D3F" w:rsidRDefault="00494D3F" w:rsidP="00494D3F">
      <w:pPr>
        <w:pStyle w:val="ListParagraph"/>
        <w:numPr>
          <w:ilvl w:val="0"/>
          <w:numId w:val="1"/>
        </w:numPr>
      </w:pPr>
      <w:r>
        <w:t>the statement of the total revenue for the business year ending on December 31, 2014,</w:t>
      </w:r>
    </w:p>
    <w:p w:rsidR="00494D3F" w:rsidRDefault="00494D3F" w:rsidP="00494D3F">
      <w:pPr>
        <w:pStyle w:val="ListParagraph"/>
        <w:numPr>
          <w:ilvl w:val="0"/>
          <w:numId w:val="1"/>
        </w:numPr>
      </w:pPr>
      <w:r>
        <w:t xml:space="preserve"> juxtaposition of the changes in company capital for the business year ending on December 31, 2014,</w:t>
      </w:r>
    </w:p>
    <w:p w:rsidR="00494D3F" w:rsidRDefault="00494D3F" w:rsidP="00494D3F">
      <w:pPr>
        <w:pStyle w:val="ListParagraph"/>
        <w:numPr>
          <w:ilvl w:val="0"/>
          <w:numId w:val="1"/>
        </w:numPr>
      </w:pPr>
      <w:r>
        <w:t>cash flow statement for the business year ending on December 31, 2014,</w:t>
      </w:r>
    </w:p>
    <w:p w:rsidR="00494D3F" w:rsidRDefault="00494D3F" w:rsidP="00494D3F">
      <w:pPr>
        <w:pStyle w:val="ListParagraph"/>
        <w:numPr>
          <w:ilvl w:val="0"/>
          <w:numId w:val="1"/>
        </w:numPr>
      </w:pPr>
      <w:r>
        <w:t>additional information and explanations.</w:t>
      </w:r>
    </w:p>
    <w:p w:rsidR="00494D3F" w:rsidRDefault="00494D3F" w:rsidP="00494D3F">
      <w:pPr>
        <w:pStyle w:val="ListParagraph"/>
        <w:ind w:left="1080"/>
      </w:pPr>
    </w:p>
    <w:p w:rsidR="00494D3F" w:rsidRDefault="00494D3F" w:rsidP="00494D3F">
      <w:pPr>
        <w:pStyle w:val="ListParagraph"/>
        <w:ind w:left="1080"/>
      </w:pPr>
      <w:r>
        <w:t>Company Management Board shall bear responsibility for the preparation of the report on the business operations in accordance with the law and relevant regulations.</w:t>
      </w:r>
    </w:p>
    <w:p w:rsidR="00976790" w:rsidRDefault="00976790" w:rsidP="00494D3F">
      <w:pPr>
        <w:pStyle w:val="ListParagraph"/>
        <w:ind w:left="1080"/>
      </w:pPr>
    </w:p>
    <w:p w:rsidR="00976790" w:rsidRDefault="00976790" w:rsidP="00494D3F">
      <w:pPr>
        <w:pStyle w:val="ListParagraph"/>
        <w:ind w:left="1080"/>
      </w:pPr>
      <w:r>
        <w:t>Company Management Board and Supervisory Board thereof shall be obliged to ensure that the financial statement as well as the report on business operations meet the requirements and obligations resulting from the Polish Accounting Act of September 29, 1994 (Journal of Law of 2013, item 330 as amended), hereinafter referred to as Accounting Act.</w:t>
      </w:r>
    </w:p>
    <w:p w:rsidR="00976790" w:rsidRDefault="00976790" w:rsidP="00494D3F">
      <w:pPr>
        <w:pStyle w:val="ListParagraph"/>
        <w:ind w:left="1080"/>
      </w:pPr>
    </w:p>
    <w:p w:rsidR="00494D3F" w:rsidRDefault="00976790" w:rsidP="00494D3F">
      <w:pPr>
        <w:pStyle w:val="ListParagraph"/>
        <w:ind w:left="1080"/>
      </w:pPr>
      <w:r>
        <w:t>Our task was to audit and express the opinion on the foregoing financial statement</w:t>
      </w:r>
      <w:r w:rsidR="00494D3F">
        <w:t xml:space="preserve"> </w:t>
      </w:r>
      <w:r>
        <w:t xml:space="preserve">and compliance thereof with the principles (policy) of accounting, verify whether it presents the economic position and financial situation of Company properly and clearly in all aspects, as well as to inspect the accuracy </w:t>
      </w:r>
      <w:r w:rsidR="00901447">
        <w:t>of ledgers</w:t>
      </w:r>
      <w:r w:rsidR="00494D3F">
        <w:t xml:space="preserve"> </w:t>
      </w:r>
      <w:r w:rsidR="00901447">
        <w:t>constituting the basis for preparation of the financial statement.</w:t>
      </w:r>
    </w:p>
    <w:p w:rsidR="00901447" w:rsidRDefault="00901447" w:rsidP="00494D3F">
      <w:pPr>
        <w:pStyle w:val="ListParagraph"/>
        <w:ind w:left="1080"/>
      </w:pPr>
    </w:p>
    <w:p w:rsidR="00901447" w:rsidRDefault="00901447" w:rsidP="00494D3F">
      <w:pPr>
        <w:pStyle w:val="ListParagraph"/>
        <w:ind w:left="1080"/>
      </w:pPr>
      <w:r>
        <w:t>We conducted and planned the audit to make sure that we receive a rational degree of certainty allowing for expression of an opinion about the statement.</w:t>
      </w:r>
    </w:p>
    <w:p w:rsidR="003C5632" w:rsidRDefault="003C5632" w:rsidP="00494D3F">
      <w:pPr>
        <w:pStyle w:val="ListParagraph"/>
        <w:ind w:left="1080"/>
      </w:pPr>
    </w:p>
    <w:p w:rsidR="00B16F3F" w:rsidRDefault="00B16F3F" w:rsidP="00494D3F">
      <w:pPr>
        <w:pStyle w:val="ListParagraph"/>
        <w:ind w:left="1080"/>
      </w:pPr>
      <w:r>
        <w:t>In particular but not conclusively, the audit encompassed the verification of  accuracy of the accounting principles (policy) employed by Company and significant estimates, the inspection (most often in random order) of ledger entries and evidence that these numbers information result from, the information included in the financial statement as well as the overall assessment of the financial statement.</w:t>
      </w:r>
    </w:p>
    <w:p w:rsidR="00B16F3F" w:rsidRDefault="00B16F3F" w:rsidP="00494D3F">
      <w:pPr>
        <w:pStyle w:val="ListParagraph"/>
        <w:ind w:left="1080"/>
      </w:pPr>
      <w:r>
        <w:lastRenderedPageBreak/>
        <w:t>We believe that the audit supported appropriate basis for the expression of opinion.</w:t>
      </w:r>
    </w:p>
    <w:p w:rsidR="00B16F3F" w:rsidRDefault="00B16F3F" w:rsidP="00494D3F">
      <w:pPr>
        <w:pStyle w:val="ListParagraph"/>
        <w:ind w:left="1080"/>
      </w:pPr>
    </w:p>
    <w:p w:rsidR="00B16F3F" w:rsidRDefault="00B16F3F" w:rsidP="00494D3F">
      <w:pPr>
        <w:pStyle w:val="ListParagraph"/>
        <w:ind w:left="1080"/>
      </w:pPr>
      <w:r>
        <w:t>In our opinion the audited financial statement in all material aspects:</w:t>
      </w:r>
    </w:p>
    <w:p w:rsidR="00B16F3F" w:rsidRDefault="00B16F3F" w:rsidP="00494D3F">
      <w:pPr>
        <w:pStyle w:val="ListParagraph"/>
        <w:ind w:left="1080"/>
      </w:pPr>
    </w:p>
    <w:p w:rsidR="00B16F3F" w:rsidRDefault="00B16F3F" w:rsidP="00B16F3F">
      <w:pPr>
        <w:pStyle w:val="ListParagraph"/>
        <w:numPr>
          <w:ilvl w:val="0"/>
          <w:numId w:val="2"/>
        </w:numPr>
      </w:pPr>
      <w:r>
        <w:t>clearly and properly presents information relevant to the assessment of the economic position and the financial situation of Company as of December 31, 2014, as well Company financial result for the business year ending on December 31,2014,</w:t>
      </w:r>
    </w:p>
    <w:p w:rsidR="00B16F3F" w:rsidRDefault="00B16F3F" w:rsidP="00B16F3F">
      <w:pPr>
        <w:pStyle w:val="ListParagraph"/>
        <w:ind w:left="1440"/>
      </w:pPr>
    </w:p>
    <w:p w:rsidR="004F2EB9" w:rsidRDefault="004F2EB9" w:rsidP="004F2EB9">
      <w:pPr>
        <w:pStyle w:val="ListParagraph"/>
        <w:numPr>
          <w:ilvl w:val="0"/>
          <w:numId w:val="2"/>
        </w:numPr>
      </w:pPr>
      <w:r>
        <w:t>has been prepared in accordance with the International Accounting Standards, the International Financial Reporting Standards and related interpretations thereto in the form of European Commission’s regulations in the scope not regulated in those standards in accordance with the requirements resulting from the Accounting Act and other regulations issued on the basis thereof, as well as on the basis of properly maintained ledgers.</w:t>
      </w:r>
    </w:p>
    <w:p w:rsidR="004F2EB9" w:rsidRDefault="004F2EB9" w:rsidP="004F2EB9">
      <w:pPr>
        <w:pStyle w:val="ListParagraph"/>
      </w:pPr>
    </w:p>
    <w:p w:rsidR="004F2EB9" w:rsidRDefault="004F2EB9" w:rsidP="004F2EB9">
      <w:pPr>
        <w:pStyle w:val="ListParagraph"/>
        <w:numPr>
          <w:ilvl w:val="0"/>
          <w:numId w:val="2"/>
        </w:numPr>
      </w:pPr>
      <w:r>
        <w:t>is compliant with the provisions of Company’s articles of association and the law related to the content of the financial statement.</w:t>
      </w:r>
    </w:p>
    <w:p w:rsidR="004F2EB9" w:rsidRDefault="004F2EB9" w:rsidP="004F2EB9">
      <w:pPr>
        <w:pStyle w:val="ListParagraph"/>
      </w:pPr>
    </w:p>
    <w:p w:rsidR="009E3303" w:rsidRDefault="004F2EB9" w:rsidP="004F2EB9">
      <w:pPr>
        <w:pStyle w:val="ListParagraph"/>
        <w:ind w:left="1440"/>
      </w:pPr>
      <w:r>
        <w:t xml:space="preserve">The statement on the business operations of Company is complete in the understanding of art. 49 of the Accounting Act and </w:t>
      </w:r>
      <w:r w:rsidR="008E0222">
        <w:t>takes in</w:t>
      </w:r>
      <w:r w:rsidR="009E3303">
        <w:t>to</w:t>
      </w:r>
      <w:r w:rsidR="008E0222">
        <w:t xml:space="preserve"> consideration the provisions of the Minister of Finance Ordinance</w:t>
      </w:r>
      <w:r>
        <w:t xml:space="preserve"> </w:t>
      </w:r>
      <w:r w:rsidR="008E0222">
        <w:t>as of February 19, 2009 on the current and periodical information provided by</w:t>
      </w:r>
      <w:r w:rsidR="009E3303">
        <w:t xml:space="preserve"> the issuers of security papers,</w:t>
      </w:r>
      <w:r w:rsidR="008E0222">
        <w:t xml:space="preserve"> as well as the conditions for deeming information required by law of non-member states as equivalent (Journal of Law of 2014, item 133), and the information involved in the </w:t>
      </w:r>
      <w:r w:rsidR="009E3303">
        <w:t xml:space="preserve">foregoing </w:t>
      </w:r>
      <w:r w:rsidR="008E0222">
        <w:t>financial s</w:t>
      </w:r>
      <w:r w:rsidR="009E3303">
        <w:t>tatement is accurate.</w:t>
      </w:r>
    </w:p>
    <w:p w:rsidR="009E3303" w:rsidRDefault="009E3303" w:rsidP="004F2EB9">
      <w:pPr>
        <w:pStyle w:val="ListParagraph"/>
        <w:ind w:left="1440"/>
      </w:pPr>
    </w:p>
    <w:p w:rsidR="009E3303" w:rsidRPr="00330BDB" w:rsidRDefault="009E3303" w:rsidP="004F2EB9">
      <w:pPr>
        <w:pStyle w:val="ListParagraph"/>
        <w:ind w:left="1440"/>
        <w:rPr>
          <w:lang w:val="pl-PL"/>
        </w:rPr>
      </w:pPr>
      <w:r w:rsidRPr="00330BDB">
        <w:rPr>
          <w:lang w:val="pl-PL"/>
        </w:rPr>
        <w:t>Poznan, March 19, 2015</w:t>
      </w:r>
    </w:p>
    <w:p w:rsidR="009E3303" w:rsidRPr="00330BDB" w:rsidRDefault="009E3303" w:rsidP="004F2EB9">
      <w:pPr>
        <w:pStyle w:val="ListParagraph"/>
        <w:ind w:left="1440"/>
        <w:rPr>
          <w:lang w:val="pl-PL"/>
        </w:rPr>
      </w:pPr>
    </w:p>
    <w:p w:rsidR="009E3303" w:rsidRPr="00330BDB" w:rsidRDefault="009E3303" w:rsidP="004F2EB9">
      <w:pPr>
        <w:pStyle w:val="ListParagraph"/>
        <w:ind w:left="1440"/>
        <w:rPr>
          <w:lang w:val="pl-PL"/>
        </w:rPr>
      </w:pPr>
    </w:p>
    <w:p w:rsidR="009E3303" w:rsidRPr="009E3303" w:rsidRDefault="009E3303" w:rsidP="009E3303">
      <w:pPr>
        <w:pStyle w:val="ListParagraph"/>
        <w:ind w:left="1440"/>
        <w:jc w:val="center"/>
        <w:rPr>
          <w:b/>
          <w:lang w:val="pl-PL"/>
        </w:rPr>
      </w:pPr>
      <w:r w:rsidRPr="009E3303">
        <w:rPr>
          <w:b/>
          <w:lang w:val="pl-PL"/>
        </w:rPr>
        <w:t>BDO Sp. z o.o.</w:t>
      </w:r>
    </w:p>
    <w:p w:rsidR="009E3303" w:rsidRPr="009E3303" w:rsidRDefault="009E3303" w:rsidP="009E3303">
      <w:pPr>
        <w:pStyle w:val="ListParagraph"/>
        <w:ind w:left="1440"/>
        <w:jc w:val="center"/>
        <w:rPr>
          <w:b/>
        </w:rPr>
      </w:pPr>
      <w:r w:rsidRPr="009E3303">
        <w:rPr>
          <w:b/>
        </w:rPr>
        <w:t>ul. Postępu 12</w:t>
      </w:r>
    </w:p>
    <w:p w:rsidR="009E3303" w:rsidRPr="009E3303" w:rsidRDefault="009E3303" w:rsidP="009E3303">
      <w:pPr>
        <w:pStyle w:val="ListParagraph"/>
        <w:ind w:left="1440"/>
        <w:jc w:val="center"/>
        <w:rPr>
          <w:b/>
        </w:rPr>
      </w:pPr>
      <w:r w:rsidRPr="009E3303">
        <w:rPr>
          <w:b/>
        </w:rPr>
        <w:t>02-676 Warszawa</w:t>
      </w:r>
    </w:p>
    <w:p w:rsidR="009E3303" w:rsidRDefault="009E3303" w:rsidP="009E3303">
      <w:pPr>
        <w:pStyle w:val="ListParagraph"/>
        <w:ind w:left="1440"/>
        <w:jc w:val="center"/>
        <w:rPr>
          <w:b/>
        </w:rPr>
      </w:pPr>
      <w:r w:rsidRPr="009E3303">
        <w:rPr>
          <w:b/>
        </w:rPr>
        <w:t xml:space="preserve">Entity eligible for auditing of financial statements no. </w:t>
      </w:r>
      <w:r>
        <w:rPr>
          <w:b/>
        </w:rPr>
        <w:t>3355</w:t>
      </w:r>
    </w:p>
    <w:p w:rsidR="009E3303" w:rsidRDefault="009E3303" w:rsidP="009E3303">
      <w:pPr>
        <w:pStyle w:val="ListParagraph"/>
        <w:ind w:left="1440"/>
        <w:jc w:val="center"/>
        <w:rPr>
          <w:b/>
        </w:rPr>
      </w:pPr>
    </w:p>
    <w:p w:rsidR="009E3303" w:rsidRDefault="009E3303" w:rsidP="009E3303">
      <w:pPr>
        <w:pStyle w:val="ListParagraph"/>
        <w:ind w:left="1440"/>
        <w:rPr>
          <w:b/>
        </w:rPr>
      </w:pPr>
    </w:p>
    <w:p w:rsidR="009E3303" w:rsidRDefault="009E3303" w:rsidP="009E3303">
      <w:pPr>
        <w:pStyle w:val="ListParagraph"/>
        <w:ind w:left="1440"/>
        <w:rPr>
          <w:b/>
        </w:rPr>
      </w:pPr>
      <w:r>
        <w:rPr>
          <w:b/>
        </w:rPr>
        <w:t xml:space="preserve">Key certified auditor </w:t>
      </w:r>
      <w:r>
        <w:rPr>
          <w:b/>
        </w:rPr>
        <w:tab/>
      </w:r>
      <w:r>
        <w:rPr>
          <w:b/>
        </w:rPr>
        <w:tab/>
      </w:r>
      <w:r>
        <w:rPr>
          <w:b/>
        </w:rPr>
        <w:tab/>
      </w:r>
      <w:r>
        <w:rPr>
          <w:b/>
        </w:rPr>
        <w:tab/>
        <w:t>Acting on behalf of BDP Sp. z o.o.:</w:t>
      </w:r>
    </w:p>
    <w:p w:rsidR="009E3303" w:rsidRDefault="009E3303" w:rsidP="009E3303">
      <w:pPr>
        <w:pStyle w:val="ListParagraph"/>
        <w:ind w:left="1440"/>
        <w:rPr>
          <w:b/>
        </w:rPr>
      </w:pPr>
      <w:r>
        <w:rPr>
          <w:b/>
        </w:rPr>
        <w:t>conduction the audit:</w:t>
      </w:r>
    </w:p>
    <w:p w:rsidR="009E3303" w:rsidRDefault="009E3303" w:rsidP="009E3303">
      <w:pPr>
        <w:pStyle w:val="ListParagraph"/>
        <w:ind w:left="1440"/>
        <w:rPr>
          <w:b/>
        </w:rPr>
      </w:pPr>
    </w:p>
    <w:p w:rsidR="009E3303" w:rsidRDefault="009E3303" w:rsidP="009E3303">
      <w:pPr>
        <w:pStyle w:val="ListParagraph"/>
        <w:ind w:left="1440"/>
        <w:rPr>
          <w:b/>
        </w:rPr>
      </w:pPr>
    </w:p>
    <w:p w:rsidR="009E3303" w:rsidRDefault="009E3303" w:rsidP="009E3303">
      <w:pPr>
        <w:pStyle w:val="ListParagraph"/>
        <w:ind w:left="1440"/>
        <w:rPr>
          <w:b/>
        </w:rPr>
      </w:pPr>
      <w:r>
        <w:rPr>
          <w:b/>
        </w:rPr>
        <w:t>Edyta Kalińska</w:t>
      </w:r>
      <w:r>
        <w:rPr>
          <w:b/>
        </w:rPr>
        <w:tab/>
      </w:r>
      <w:r>
        <w:rPr>
          <w:b/>
        </w:rPr>
        <w:tab/>
      </w:r>
      <w:r>
        <w:rPr>
          <w:b/>
        </w:rPr>
        <w:tab/>
      </w:r>
      <w:r>
        <w:rPr>
          <w:b/>
        </w:rPr>
        <w:tab/>
      </w:r>
      <w:r>
        <w:rPr>
          <w:b/>
        </w:rPr>
        <w:tab/>
        <w:t>dr Andre Helin</w:t>
      </w:r>
    </w:p>
    <w:p w:rsidR="009E3303" w:rsidRDefault="009E3303" w:rsidP="009E3303">
      <w:pPr>
        <w:pStyle w:val="ListParagraph"/>
        <w:ind w:left="1440"/>
        <w:rPr>
          <w:b/>
        </w:rPr>
      </w:pPr>
      <w:r>
        <w:rPr>
          <w:b/>
        </w:rPr>
        <w:t>Certified Auditor</w:t>
      </w:r>
      <w:r>
        <w:rPr>
          <w:b/>
        </w:rPr>
        <w:tab/>
      </w:r>
      <w:r>
        <w:rPr>
          <w:b/>
        </w:rPr>
        <w:tab/>
      </w:r>
      <w:r>
        <w:rPr>
          <w:b/>
        </w:rPr>
        <w:tab/>
      </w:r>
      <w:r>
        <w:rPr>
          <w:b/>
        </w:rPr>
        <w:tab/>
        <w:t>Director of the Management Board</w:t>
      </w:r>
    </w:p>
    <w:p w:rsidR="009E3303" w:rsidRDefault="000B1F99" w:rsidP="009E3303">
      <w:pPr>
        <w:pStyle w:val="ListParagraph"/>
        <w:ind w:left="1440"/>
        <w:rPr>
          <w:b/>
        </w:rPr>
      </w:pPr>
      <w:r>
        <w:rPr>
          <w:b/>
        </w:rPr>
        <w:lastRenderedPageBreak/>
        <w:t>License n</w:t>
      </w:r>
      <w:r w:rsidR="009E3303">
        <w:rPr>
          <w:b/>
        </w:rPr>
        <w:t>o</w:t>
      </w:r>
      <w:r>
        <w:rPr>
          <w:b/>
        </w:rPr>
        <w:t>. 10336</w:t>
      </w:r>
      <w:r>
        <w:rPr>
          <w:b/>
        </w:rPr>
        <w:tab/>
      </w:r>
      <w:r>
        <w:rPr>
          <w:b/>
        </w:rPr>
        <w:tab/>
      </w:r>
      <w:r>
        <w:rPr>
          <w:b/>
        </w:rPr>
        <w:tab/>
      </w:r>
      <w:r>
        <w:rPr>
          <w:b/>
        </w:rPr>
        <w:tab/>
      </w:r>
      <w:r w:rsidR="009E3303">
        <w:rPr>
          <w:b/>
        </w:rPr>
        <w:t>Certified Auditor</w:t>
      </w:r>
      <w:r>
        <w:rPr>
          <w:b/>
        </w:rPr>
        <w:t>,</w:t>
      </w:r>
      <w:r w:rsidR="009E3303">
        <w:rPr>
          <w:b/>
        </w:rPr>
        <w:t xml:space="preserve"> </w:t>
      </w:r>
      <w:r>
        <w:rPr>
          <w:b/>
        </w:rPr>
        <w:t xml:space="preserve">license </w:t>
      </w:r>
      <w:r w:rsidR="009E3303">
        <w:rPr>
          <w:b/>
        </w:rPr>
        <w:t>no. 90004</w:t>
      </w:r>
    </w:p>
    <w:p w:rsidR="00BE77DD" w:rsidRDefault="00BE77DD" w:rsidP="009E3303">
      <w:pPr>
        <w:pStyle w:val="ListParagraph"/>
        <w:ind w:left="1440"/>
        <w:rPr>
          <w:b/>
        </w:rPr>
      </w:pPr>
    </w:p>
    <w:p w:rsidR="00BE77DD" w:rsidRDefault="00BE77DD" w:rsidP="009E3303">
      <w:pPr>
        <w:pStyle w:val="ListParagraph"/>
        <w:ind w:left="1440"/>
        <w:rPr>
          <w:b/>
        </w:rPr>
      </w:pPr>
    </w:p>
    <w:p w:rsidR="00BE77DD" w:rsidRDefault="00BE77DD" w:rsidP="00BE77DD">
      <w:pPr>
        <w:pStyle w:val="ListParagraph"/>
        <w:ind w:left="1440"/>
        <w:jc w:val="center"/>
        <w:rPr>
          <w:b/>
        </w:rPr>
      </w:pPr>
      <w:r>
        <w:rPr>
          <w:b/>
        </w:rPr>
        <w:t>Report on</w:t>
      </w:r>
    </w:p>
    <w:p w:rsidR="00BE77DD" w:rsidRDefault="00BE77DD" w:rsidP="00BE77DD">
      <w:pPr>
        <w:pStyle w:val="ListParagraph"/>
        <w:ind w:left="1440"/>
        <w:jc w:val="center"/>
        <w:rPr>
          <w:b/>
        </w:rPr>
      </w:pPr>
      <w:r>
        <w:rPr>
          <w:b/>
        </w:rPr>
        <w:t>the audit of the financial statement of</w:t>
      </w:r>
    </w:p>
    <w:p w:rsidR="00BE77DD" w:rsidRDefault="00BE77DD" w:rsidP="00BE77DD">
      <w:pPr>
        <w:pStyle w:val="ListParagraph"/>
        <w:ind w:left="1440"/>
        <w:jc w:val="center"/>
        <w:rPr>
          <w:b/>
        </w:rPr>
      </w:pPr>
      <w:r>
        <w:rPr>
          <w:b/>
        </w:rPr>
        <w:t>J.W. Construction Holding S.A.</w:t>
      </w:r>
    </w:p>
    <w:p w:rsidR="00BE77DD" w:rsidRDefault="00BE77DD" w:rsidP="00BE77DD">
      <w:pPr>
        <w:pStyle w:val="ListParagraph"/>
        <w:ind w:left="1440"/>
        <w:jc w:val="center"/>
        <w:rPr>
          <w:b/>
        </w:rPr>
      </w:pPr>
    </w:p>
    <w:p w:rsidR="00BE77DD" w:rsidRDefault="00BE77DD" w:rsidP="00BE77DD">
      <w:pPr>
        <w:pStyle w:val="ListParagraph"/>
        <w:ind w:left="1440"/>
        <w:jc w:val="center"/>
        <w:rPr>
          <w:b/>
        </w:rPr>
      </w:pPr>
      <w:r>
        <w:rPr>
          <w:b/>
        </w:rPr>
        <w:t>for the business year ending on</w:t>
      </w:r>
    </w:p>
    <w:p w:rsidR="00BE77DD" w:rsidRPr="009E3303" w:rsidRDefault="00BE77DD" w:rsidP="00BE77DD">
      <w:pPr>
        <w:pStyle w:val="ListParagraph"/>
        <w:ind w:left="1440"/>
        <w:jc w:val="center"/>
        <w:rPr>
          <w:b/>
        </w:rPr>
      </w:pPr>
      <w:r>
        <w:rPr>
          <w:b/>
        </w:rPr>
        <w:t>December 31, 2014</w:t>
      </w:r>
    </w:p>
    <w:p w:rsidR="009E3303" w:rsidRPr="009E3303" w:rsidRDefault="009E3303" w:rsidP="004F2EB9">
      <w:pPr>
        <w:pStyle w:val="ListParagraph"/>
        <w:ind w:left="1440"/>
      </w:pPr>
    </w:p>
    <w:p w:rsidR="004F2EB9" w:rsidRPr="009E3303" w:rsidRDefault="008E0222" w:rsidP="004F2EB9">
      <w:pPr>
        <w:pStyle w:val="ListParagraph"/>
        <w:ind w:left="1440"/>
      </w:pPr>
      <w:r w:rsidRPr="009E3303">
        <w:t xml:space="preserve"> </w:t>
      </w:r>
    </w:p>
    <w:p w:rsidR="00B16F3F" w:rsidRPr="009E3303" w:rsidRDefault="00B16F3F" w:rsidP="00B16F3F">
      <w:pPr>
        <w:pStyle w:val="ListParagraph"/>
        <w:ind w:left="1440"/>
      </w:pPr>
    </w:p>
    <w:p w:rsidR="00B16F3F" w:rsidRPr="009E3303" w:rsidRDefault="00B16F3F" w:rsidP="00494D3F">
      <w:pPr>
        <w:pStyle w:val="ListParagraph"/>
        <w:ind w:left="1080"/>
      </w:pPr>
    </w:p>
    <w:p w:rsidR="00B16F3F" w:rsidRPr="009E3303" w:rsidRDefault="00B16F3F" w:rsidP="00494D3F">
      <w:pPr>
        <w:pStyle w:val="ListParagraph"/>
        <w:ind w:left="1080"/>
      </w:pPr>
    </w:p>
    <w:p w:rsidR="003C5632" w:rsidRDefault="00B16F3F" w:rsidP="00494D3F">
      <w:pPr>
        <w:pStyle w:val="ListParagraph"/>
        <w:ind w:left="1080"/>
      </w:pPr>
      <w:r w:rsidRPr="009E3303">
        <w:t xml:space="preserve"> </w:t>
      </w:r>
    </w:p>
    <w:p w:rsidR="00A97DBB" w:rsidRDefault="00A97DBB" w:rsidP="00494D3F">
      <w:pPr>
        <w:pStyle w:val="ListParagraph"/>
        <w:ind w:left="1080"/>
      </w:pPr>
    </w:p>
    <w:p w:rsidR="00A97DBB" w:rsidRDefault="00A97DBB" w:rsidP="00494D3F">
      <w:pPr>
        <w:pStyle w:val="ListParagraph"/>
        <w:ind w:left="1080"/>
      </w:pPr>
    </w:p>
    <w:p w:rsidR="00A97DBB" w:rsidRDefault="00A97DBB" w:rsidP="00494D3F">
      <w:pPr>
        <w:pStyle w:val="ListParagraph"/>
        <w:ind w:left="1080"/>
      </w:pPr>
    </w:p>
    <w:p w:rsidR="00A97DBB" w:rsidRDefault="00A97DBB" w:rsidP="00494D3F">
      <w:pPr>
        <w:pStyle w:val="ListParagraph"/>
        <w:ind w:left="1080"/>
      </w:pPr>
    </w:p>
    <w:p w:rsidR="00A97DBB" w:rsidRDefault="00A97DBB" w:rsidP="00494D3F">
      <w:pPr>
        <w:pStyle w:val="ListParagraph"/>
        <w:ind w:left="1080"/>
      </w:pPr>
    </w:p>
    <w:p w:rsidR="00A97DBB" w:rsidRDefault="00A97DBB" w:rsidP="00494D3F">
      <w:pPr>
        <w:pStyle w:val="ListParagraph"/>
        <w:ind w:left="1080"/>
      </w:pPr>
    </w:p>
    <w:p w:rsidR="00A97DBB" w:rsidRDefault="00A97DBB" w:rsidP="00494D3F">
      <w:pPr>
        <w:pStyle w:val="ListParagraph"/>
        <w:ind w:left="1080"/>
      </w:pPr>
    </w:p>
    <w:p w:rsidR="00A97DBB" w:rsidRDefault="00A97DBB" w:rsidP="00494D3F">
      <w:pPr>
        <w:pStyle w:val="ListParagraph"/>
        <w:ind w:left="1080"/>
      </w:pPr>
    </w:p>
    <w:p w:rsidR="00A97DBB" w:rsidRDefault="00A97DBB" w:rsidP="00494D3F">
      <w:pPr>
        <w:pStyle w:val="ListParagraph"/>
        <w:ind w:left="1080"/>
      </w:pPr>
    </w:p>
    <w:p w:rsidR="00A97DBB" w:rsidRDefault="00A97DBB" w:rsidP="00494D3F">
      <w:pPr>
        <w:pStyle w:val="ListParagraph"/>
        <w:ind w:left="1080"/>
      </w:pPr>
    </w:p>
    <w:p w:rsidR="00A97DBB" w:rsidRDefault="00A97DBB" w:rsidP="00494D3F">
      <w:pPr>
        <w:pStyle w:val="ListParagraph"/>
        <w:ind w:left="1080"/>
      </w:pPr>
    </w:p>
    <w:p w:rsidR="00A97DBB" w:rsidRDefault="00A97DBB" w:rsidP="00494D3F">
      <w:pPr>
        <w:pStyle w:val="ListParagraph"/>
        <w:ind w:left="1080"/>
      </w:pPr>
    </w:p>
    <w:p w:rsidR="00A97DBB" w:rsidRDefault="00A97DBB" w:rsidP="00494D3F">
      <w:pPr>
        <w:pStyle w:val="ListParagraph"/>
        <w:ind w:left="1080"/>
      </w:pPr>
    </w:p>
    <w:p w:rsidR="00A97DBB" w:rsidRDefault="00A97DBB" w:rsidP="00494D3F">
      <w:pPr>
        <w:pStyle w:val="ListParagraph"/>
        <w:ind w:left="1080"/>
      </w:pPr>
    </w:p>
    <w:p w:rsidR="00A97DBB" w:rsidRDefault="00A97DBB" w:rsidP="00494D3F">
      <w:pPr>
        <w:pStyle w:val="ListParagraph"/>
        <w:ind w:left="1080"/>
      </w:pPr>
    </w:p>
    <w:p w:rsidR="00A97DBB" w:rsidRDefault="00A97DBB" w:rsidP="00494D3F">
      <w:pPr>
        <w:pStyle w:val="ListParagraph"/>
        <w:ind w:left="1080"/>
      </w:pPr>
    </w:p>
    <w:p w:rsidR="00A97DBB" w:rsidRDefault="00A97DBB" w:rsidP="00494D3F">
      <w:pPr>
        <w:pStyle w:val="ListParagraph"/>
        <w:ind w:left="1080"/>
      </w:pPr>
    </w:p>
    <w:p w:rsidR="00A97DBB" w:rsidRDefault="00A97DBB" w:rsidP="00494D3F">
      <w:pPr>
        <w:pStyle w:val="ListParagraph"/>
        <w:ind w:left="1080"/>
      </w:pPr>
    </w:p>
    <w:p w:rsidR="00A97DBB" w:rsidRDefault="00A97DBB" w:rsidP="00494D3F">
      <w:pPr>
        <w:pStyle w:val="ListParagraph"/>
        <w:ind w:left="1080"/>
      </w:pPr>
    </w:p>
    <w:p w:rsidR="00A97DBB" w:rsidRDefault="00A97DBB" w:rsidP="00494D3F">
      <w:pPr>
        <w:pStyle w:val="ListParagraph"/>
        <w:ind w:left="1080"/>
      </w:pPr>
    </w:p>
    <w:p w:rsidR="00A97DBB" w:rsidRDefault="00A97DBB" w:rsidP="00494D3F">
      <w:pPr>
        <w:pStyle w:val="ListParagraph"/>
        <w:ind w:left="1080"/>
      </w:pPr>
    </w:p>
    <w:p w:rsidR="00A97DBB" w:rsidRDefault="00A97DBB" w:rsidP="00494D3F">
      <w:pPr>
        <w:pStyle w:val="ListParagraph"/>
        <w:ind w:left="1080"/>
      </w:pPr>
    </w:p>
    <w:p w:rsidR="00A97DBB" w:rsidRDefault="00A97DBB" w:rsidP="00494D3F">
      <w:pPr>
        <w:pStyle w:val="ListParagraph"/>
        <w:ind w:left="1080"/>
      </w:pPr>
    </w:p>
    <w:p w:rsidR="00A97DBB" w:rsidRDefault="00A97DBB" w:rsidP="00494D3F">
      <w:pPr>
        <w:pStyle w:val="ListParagraph"/>
        <w:ind w:left="1080"/>
      </w:pPr>
    </w:p>
    <w:p w:rsidR="00A97DBB" w:rsidRDefault="00A97DBB" w:rsidP="00494D3F">
      <w:pPr>
        <w:pStyle w:val="ListParagraph"/>
        <w:ind w:left="1080"/>
      </w:pPr>
    </w:p>
    <w:p w:rsidR="00A97DBB" w:rsidRDefault="00A97DBB" w:rsidP="00494D3F">
      <w:pPr>
        <w:pStyle w:val="ListParagraph"/>
        <w:ind w:left="1080"/>
      </w:pPr>
    </w:p>
    <w:p w:rsidR="00A97DBB" w:rsidRDefault="00A97DBB" w:rsidP="00494D3F">
      <w:pPr>
        <w:pStyle w:val="ListParagraph"/>
        <w:ind w:left="1080"/>
      </w:pPr>
    </w:p>
    <w:p w:rsidR="00A97DBB" w:rsidRDefault="00A97DBB" w:rsidP="00494D3F">
      <w:pPr>
        <w:pStyle w:val="ListParagraph"/>
        <w:ind w:left="1080"/>
      </w:pPr>
    </w:p>
    <w:p w:rsidR="00A97DBB" w:rsidRDefault="00330BDB" w:rsidP="00330BDB">
      <w:pPr>
        <w:pStyle w:val="ListParagraph"/>
        <w:numPr>
          <w:ilvl w:val="0"/>
          <w:numId w:val="3"/>
        </w:numPr>
        <w:rPr>
          <w:b/>
        </w:rPr>
      </w:pPr>
      <w:r>
        <w:rPr>
          <w:b/>
        </w:rPr>
        <w:t>GENERAL PART OF THE REPORT</w:t>
      </w:r>
    </w:p>
    <w:p w:rsidR="0038437F" w:rsidRDefault="0038437F" w:rsidP="0038437F">
      <w:pPr>
        <w:pStyle w:val="ListParagraph"/>
        <w:ind w:left="1800"/>
        <w:rPr>
          <w:b/>
        </w:rPr>
      </w:pPr>
    </w:p>
    <w:p w:rsidR="0038437F" w:rsidRDefault="0038437F" w:rsidP="0038437F">
      <w:pPr>
        <w:pStyle w:val="ListParagraph"/>
        <w:numPr>
          <w:ilvl w:val="0"/>
          <w:numId w:val="5"/>
        </w:numPr>
        <w:rPr>
          <w:b/>
        </w:rPr>
      </w:pPr>
      <w:r>
        <w:rPr>
          <w:b/>
        </w:rPr>
        <w:t>Data identifying Company</w:t>
      </w:r>
    </w:p>
    <w:p w:rsidR="0038437F" w:rsidRDefault="0038437F" w:rsidP="0038437F">
      <w:pPr>
        <w:pStyle w:val="ListParagraph"/>
        <w:ind w:left="1440"/>
        <w:rPr>
          <w:b/>
        </w:rPr>
      </w:pPr>
    </w:p>
    <w:p w:rsidR="00CE43BA" w:rsidRDefault="00CE43BA" w:rsidP="0038437F">
      <w:pPr>
        <w:pStyle w:val="ListParagraph"/>
        <w:ind w:left="1440"/>
      </w:pPr>
      <w:r>
        <w:t>Company business name is J.W. Construction Holding Spółka Akcyjna.</w:t>
      </w:r>
    </w:p>
    <w:p w:rsidR="00CE43BA" w:rsidRDefault="00CE43BA" w:rsidP="0038437F">
      <w:pPr>
        <w:pStyle w:val="ListParagraph"/>
        <w:ind w:left="1440"/>
      </w:pPr>
      <w:r>
        <w:t>Company registered office is 05-091 Ząbki, Poland, 326 Radzymińska street.</w:t>
      </w:r>
    </w:p>
    <w:p w:rsidR="00CE43BA" w:rsidRDefault="00CE43BA" w:rsidP="0038437F">
      <w:pPr>
        <w:pStyle w:val="ListParagraph"/>
        <w:ind w:left="1440"/>
      </w:pPr>
      <w:r>
        <w:t>In accordance to the entry to the register of companies and Company’s articles of association the object of economic activity is:</w:t>
      </w:r>
    </w:p>
    <w:p w:rsidR="00CE43BA" w:rsidRDefault="00702F3C" w:rsidP="0038437F">
      <w:pPr>
        <w:pStyle w:val="ListParagraph"/>
        <w:ind w:left="1440"/>
      </w:pPr>
      <w:r>
        <w:t>—</w:t>
      </w:r>
      <w:r w:rsidR="00CE43BA">
        <w:t xml:space="preserve"> realization of construction, design and auxiliary works;</w:t>
      </w:r>
    </w:p>
    <w:p w:rsidR="00CE43BA" w:rsidRDefault="00702F3C" w:rsidP="0038437F">
      <w:pPr>
        <w:pStyle w:val="ListParagraph"/>
        <w:ind w:left="1440"/>
      </w:pPr>
      <w:r>
        <w:t>—</w:t>
      </w:r>
      <w:r w:rsidR="00CE43BA">
        <w:t xml:space="preserve"> trading in domestic and foreign tangible assets and intangible assets used in particular for construction and equipping residential buildings and other constructions;</w:t>
      </w:r>
    </w:p>
    <w:p w:rsidR="00CE43BA" w:rsidRDefault="00702F3C" w:rsidP="0038437F">
      <w:pPr>
        <w:pStyle w:val="ListParagraph"/>
        <w:ind w:left="1440"/>
      </w:pPr>
      <w:r>
        <w:t>—</w:t>
      </w:r>
      <w:r w:rsidR="00CE43BA">
        <w:t xml:space="preserve"> sales and administration of real estate;</w:t>
      </w:r>
    </w:p>
    <w:p w:rsidR="00F21958" w:rsidRDefault="00702F3C" w:rsidP="00A35138">
      <w:pPr>
        <w:pStyle w:val="ListParagraph"/>
        <w:ind w:left="1440"/>
      </w:pPr>
      <w:r>
        <w:t>—</w:t>
      </w:r>
      <w:r w:rsidR="00CE43BA">
        <w:t xml:space="preserve"> </w:t>
      </w:r>
      <w:r w:rsidR="00F21958">
        <w:t>rendering hotel and catering services.</w:t>
      </w:r>
    </w:p>
    <w:p w:rsidR="00A35138" w:rsidRDefault="00A35138" w:rsidP="0038437F">
      <w:pPr>
        <w:pStyle w:val="ListParagraph"/>
        <w:ind w:left="1440"/>
      </w:pPr>
    </w:p>
    <w:p w:rsidR="00F21958" w:rsidRDefault="00A35138" w:rsidP="0038437F">
      <w:pPr>
        <w:pStyle w:val="ListParagraph"/>
        <w:ind w:left="1440"/>
      </w:pPr>
      <w:r>
        <w:t>In the audited period, the object of economic activity of J.W. Construction Holding S.A. was construction and sales of residential and commercial real estate. J.W. Construction Holding S.A. conducted real estate projects independently and via special-purpose vehicles.</w:t>
      </w:r>
    </w:p>
    <w:p w:rsidR="00A35138" w:rsidRDefault="00A35138" w:rsidP="0038437F">
      <w:pPr>
        <w:pStyle w:val="ListParagraph"/>
        <w:ind w:left="1440"/>
      </w:pPr>
    </w:p>
    <w:p w:rsidR="00A35138" w:rsidRDefault="00A35138" w:rsidP="00A35138">
      <w:pPr>
        <w:pStyle w:val="ListParagraph"/>
        <w:ind w:left="1440"/>
      </w:pPr>
      <w:r>
        <w:t>Company operates based on:</w:t>
      </w:r>
    </w:p>
    <w:p w:rsidR="00A35138" w:rsidRDefault="00702F3C" w:rsidP="00A35138">
      <w:pPr>
        <w:ind w:left="1440"/>
      </w:pPr>
      <w:r>
        <w:t>—</w:t>
      </w:r>
      <w:r w:rsidR="00A35138">
        <w:t xml:space="preserve"> </w:t>
      </w:r>
      <w:r w:rsidR="00270632">
        <w:t xml:space="preserve"> </w:t>
      </w:r>
      <w:r w:rsidR="00A35138">
        <w:t>Company articles of association made in the form of a notarial act of December 28, 2000 (Repertory A no. 16595/2000) as amended,</w:t>
      </w:r>
      <w:r>
        <w:t xml:space="preserve"> </w:t>
      </w:r>
    </w:p>
    <w:p w:rsidR="002E6CA2" w:rsidRDefault="002E6CA2" w:rsidP="002E6CA2">
      <w:pPr>
        <w:pStyle w:val="ListParagraph"/>
        <w:numPr>
          <w:ilvl w:val="0"/>
          <w:numId w:val="8"/>
        </w:numPr>
      </w:pPr>
      <w:r>
        <w:t>Polish Code of Commercial Companies</w:t>
      </w:r>
      <w:r w:rsidR="00270632">
        <w:t>.</w:t>
      </w:r>
    </w:p>
    <w:p w:rsidR="00270632" w:rsidRDefault="00270632" w:rsidP="00270632">
      <w:pPr>
        <w:ind w:left="1440"/>
      </w:pPr>
      <w:r>
        <w:t>On July 2001, Company was entered to the National Court Register in the District Court for the Capital City of Warsaw, XIV Economic Division Registration Section under the National Court Register number 0000028142.</w:t>
      </w:r>
    </w:p>
    <w:p w:rsidR="00270632" w:rsidRDefault="00270632" w:rsidP="00270632">
      <w:pPr>
        <w:ind w:left="1440"/>
      </w:pPr>
      <w:r>
        <w:t>Company has NIP number (tax ID) number: 125-00-28-307 and REGON number (business registration no): 010621332.</w:t>
      </w:r>
    </w:p>
    <w:p w:rsidR="00E75723" w:rsidRDefault="00E75723" w:rsidP="00270632">
      <w:pPr>
        <w:ind w:left="1440"/>
      </w:pPr>
      <w:r>
        <w:t>Company share capital as of December 31, 2014 was PLN 17, 772 thousand and was divided into 88</w:t>
      </w:r>
      <w:r w:rsidR="00090085">
        <w:t>,</w:t>
      </w:r>
      <w:r>
        <w:t>859</w:t>
      </w:r>
      <w:r w:rsidR="00090085">
        <w:t>,</w:t>
      </w:r>
      <w:r>
        <w:t>442 shares with the nominal value of PLN 0,20 each.</w:t>
      </w:r>
    </w:p>
    <w:p w:rsidR="00090085" w:rsidRDefault="00090085" w:rsidP="00270632">
      <w:pPr>
        <w:ind w:left="1440"/>
      </w:pPr>
      <w:r>
        <w:t xml:space="preserve">On April 9, 2014 General Shareholder Meeting made a decision on the increase of share capital by way of the issuance of C-series shares. There were 34,786,163 shares issued with the total value of PLN 109,576 thousand that were given to the investors. Nominal price of one share was PLN 0,20, and the share issuing price was </w:t>
      </w:r>
      <w:r w:rsidR="0050584B">
        <w:t>PLN 3,15.</w:t>
      </w:r>
    </w:p>
    <w:p w:rsidR="00466AFF" w:rsidRDefault="0050584B" w:rsidP="00270632">
      <w:pPr>
        <w:ind w:left="1440"/>
      </w:pPr>
      <w:r>
        <w:lastRenderedPageBreak/>
        <w:t>As of December 31, 2014</w:t>
      </w:r>
      <w:r w:rsidR="00466AFF">
        <w:t>,</w:t>
      </w:r>
      <w:r>
        <w:t xml:space="preserve"> </w:t>
      </w:r>
      <w:r w:rsidR="00466AFF">
        <w:t>the Company shareholder structure, pursuant to the information from Company Management Board, was as followed:</w:t>
      </w:r>
    </w:p>
    <w:tbl>
      <w:tblPr>
        <w:tblStyle w:val="TableGrid"/>
        <w:tblW w:w="0" w:type="auto"/>
        <w:tblInd w:w="1440" w:type="dxa"/>
        <w:tblLook w:val="04A0"/>
      </w:tblPr>
      <w:tblGrid>
        <w:gridCol w:w="2762"/>
        <w:gridCol w:w="2675"/>
        <w:gridCol w:w="2699"/>
      </w:tblGrid>
      <w:tr w:rsidR="00466AFF" w:rsidTr="00466AFF">
        <w:tc>
          <w:tcPr>
            <w:tcW w:w="3192" w:type="dxa"/>
          </w:tcPr>
          <w:p w:rsidR="00466AFF" w:rsidRDefault="00466AFF" w:rsidP="00466AFF">
            <w:pPr>
              <w:jc w:val="center"/>
            </w:pPr>
          </w:p>
          <w:p w:rsidR="00466AFF" w:rsidRDefault="00466AFF" w:rsidP="00466AFF">
            <w:pPr>
              <w:jc w:val="center"/>
            </w:pPr>
            <w:r>
              <w:t>Shareholder</w:t>
            </w:r>
          </w:p>
        </w:tc>
        <w:tc>
          <w:tcPr>
            <w:tcW w:w="3192" w:type="dxa"/>
          </w:tcPr>
          <w:p w:rsidR="00466AFF" w:rsidRDefault="00466AFF" w:rsidP="00466AFF">
            <w:pPr>
              <w:jc w:val="center"/>
            </w:pPr>
          </w:p>
          <w:p w:rsidR="00466AFF" w:rsidRDefault="00466AFF" w:rsidP="00466AFF">
            <w:pPr>
              <w:jc w:val="center"/>
            </w:pPr>
            <w:r>
              <w:t>Number of shares</w:t>
            </w:r>
          </w:p>
        </w:tc>
        <w:tc>
          <w:tcPr>
            <w:tcW w:w="3192" w:type="dxa"/>
          </w:tcPr>
          <w:p w:rsidR="00466AFF" w:rsidRDefault="00466AFF" w:rsidP="00466AFF">
            <w:pPr>
              <w:jc w:val="center"/>
            </w:pPr>
            <w:r>
              <w:t>% of the total vote at the Annual General Shareholder Meeting</w:t>
            </w:r>
          </w:p>
        </w:tc>
      </w:tr>
      <w:tr w:rsidR="00466AFF" w:rsidTr="00466AFF">
        <w:tc>
          <w:tcPr>
            <w:tcW w:w="3192" w:type="dxa"/>
          </w:tcPr>
          <w:p w:rsidR="00466AFF" w:rsidRDefault="00466AFF" w:rsidP="00270632">
            <w:r>
              <w:t>EHT S.A.</w:t>
            </w:r>
          </w:p>
        </w:tc>
        <w:tc>
          <w:tcPr>
            <w:tcW w:w="3192" w:type="dxa"/>
          </w:tcPr>
          <w:p w:rsidR="00466AFF" w:rsidRDefault="00466AFF" w:rsidP="00270632">
            <w:r>
              <w:t>32,494,525</w:t>
            </w:r>
          </w:p>
        </w:tc>
        <w:tc>
          <w:tcPr>
            <w:tcW w:w="3192" w:type="dxa"/>
          </w:tcPr>
          <w:p w:rsidR="00466AFF" w:rsidRDefault="00466AFF" w:rsidP="00270632">
            <w:r>
              <w:t>36,57%</w:t>
            </w:r>
          </w:p>
        </w:tc>
      </w:tr>
      <w:tr w:rsidR="00466AFF" w:rsidTr="00466AFF">
        <w:tc>
          <w:tcPr>
            <w:tcW w:w="3192" w:type="dxa"/>
          </w:tcPr>
          <w:p w:rsidR="00466AFF" w:rsidRDefault="00466AFF" w:rsidP="00270632">
            <w:r>
              <w:t xml:space="preserve">Mr.  Józef Wojciechowski </w:t>
            </w:r>
          </w:p>
        </w:tc>
        <w:tc>
          <w:tcPr>
            <w:tcW w:w="3192" w:type="dxa"/>
          </w:tcPr>
          <w:p w:rsidR="00466AFF" w:rsidRDefault="00466AFF" w:rsidP="00270632">
            <w:r>
              <w:t>23,917,739</w:t>
            </w:r>
          </w:p>
        </w:tc>
        <w:tc>
          <w:tcPr>
            <w:tcW w:w="3192" w:type="dxa"/>
          </w:tcPr>
          <w:p w:rsidR="00466AFF" w:rsidRDefault="00466AFF" w:rsidP="00270632">
            <w:r>
              <w:t>26,92%</w:t>
            </w:r>
          </w:p>
        </w:tc>
      </w:tr>
      <w:tr w:rsidR="00466AFF" w:rsidTr="00466AFF">
        <w:tc>
          <w:tcPr>
            <w:tcW w:w="3192" w:type="dxa"/>
          </w:tcPr>
          <w:p w:rsidR="00466AFF" w:rsidRDefault="00466AFF" w:rsidP="00270632">
            <w:r>
              <w:t>Other shareholders*</w:t>
            </w:r>
          </w:p>
        </w:tc>
        <w:tc>
          <w:tcPr>
            <w:tcW w:w="3192" w:type="dxa"/>
          </w:tcPr>
          <w:p w:rsidR="00466AFF" w:rsidRDefault="00466AFF" w:rsidP="00270632">
            <w:r>
              <w:t>32,447,179</w:t>
            </w:r>
          </w:p>
        </w:tc>
        <w:tc>
          <w:tcPr>
            <w:tcW w:w="3192" w:type="dxa"/>
          </w:tcPr>
          <w:p w:rsidR="00466AFF" w:rsidRDefault="00466AFF" w:rsidP="00270632">
            <w:r>
              <w:t>36,52%</w:t>
            </w:r>
          </w:p>
        </w:tc>
      </w:tr>
      <w:tr w:rsidR="00466AFF" w:rsidTr="00466AFF">
        <w:tc>
          <w:tcPr>
            <w:tcW w:w="3192" w:type="dxa"/>
          </w:tcPr>
          <w:p w:rsidR="00466AFF" w:rsidRDefault="006E0949" w:rsidP="00270632">
            <w:r>
              <w:t>Total</w:t>
            </w:r>
          </w:p>
        </w:tc>
        <w:tc>
          <w:tcPr>
            <w:tcW w:w="3192" w:type="dxa"/>
          </w:tcPr>
          <w:p w:rsidR="00466AFF" w:rsidRDefault="00466AFF" w:rsidP="00270632">
            <w:r>
              <w:t>88,859,443</w:t>
            </w:r>
          </w:p>
        </w:tc>
        <w:tc>
          <w:tcPr>
            <w:tcW w:w="3192" w:type="dxa"/>
          </w:tcPr>
          <w:p w:rsidR="00466AFF" w:rsidRDefault="00466AFF" w:rsidP="00270632">
            <w:r>
              <w:t>100,00%</w:t>
            </w:r>
          </w:p>
        </w:tc>
      </w:tr>
    </w:tbl>
    <w:p w:rsidR="0050584B" w:rsidRDefault="00466AFF" w:rsidP="00270632">
      <w:pPr>
        <w:ind w:left="1440"/>
      </w:pPr>
      <w:r>
        <w:t xml:space="preserve"> </w:t>
      </w:r>
    </w:p>
    <w:p w:rsidR="006E0949" w:rsidRDefault="006E0949" w:rsidP="00270632">
      <w:pPr>
        <w:ind w:left="1440"/>
      </w:pPr>
      <w:r>
        <w:t>*including</w:t>
      </w:r>
    </w:p>
    <w:tbl>
      <w:tblPr>
        <w:tblStyle w:val="TableGrid"/>
        <w:tblW w:w="0" w:type="auto"/>
        <w:tblInd w:w="1440" w:type="dxa"/>
        <w:tblLook w:val="04A0"/>
      </w:tblPr>
      <w:tblGrid>
        <w:gridCol w:w="4058"/>
        <w:gridCol w:w="4078"/>
      </w:tblGrid>
      <w:tr w:rsidR="006E0949" w:rsidTr="006E0949">
        <w:tc>
          <w:tcPr>
            <w:tcW w:w="4788" w:type="dxa"/>
          </w:tcPr>
          <w:p w:rsidR="006E0949" w:rsidRDefault="006E0949" w:rsidP="00270632">
            <w:r>
              <w:t>Pioneer Pekao TFI S.A.</w:t>
            </w:r>
          </w:p>
        </w:tc>
        <w:tc>
          <w:tcPr>
            <w:tcW w:w="4788" w:type="dxa"/>
          </w:tcPr>
          <w:p w:rsidR="006E0949" w:rsidRDefault="006E0949" w:rsidP="006E0949">
            <w:pPr>
              <w:jc w:val="center"/>
            </w:pPr>
            <w:r>
              <w:t>Between 5 and 10% of shares</w:t>
            </w:r>
          </w:p>
        </w:tc>
      </w:tr>
    </w:tbl>
    <w:p w:rsidR="006E0949" w:rsidRDefault="006E0949" w:rsidP="00270632">
      <w:pPr>
        <w:ind w:left="1440"/>
      </w:pPr>
    </w:p>
    <w:p w:rsidR="003724C1" w:rsidRDefault="006E0949" w:rsidP="00270632">
      <w:pPr>
        <w:ind w:left="1440"/>
      </w:pPr>
      <w:r>
        <w:t xml:space="preserve">On October 3, 2014, Company </w:t>
      </w:r>
      <w:r w:rsidR="003724C1">
        <w:t>received a notification about exceeding of the 5% threshold in the Company share capital whose assets were managed by Pioneer Pekao Investment Management S.A, and as of that day this was 4,709,089 of shares, which comprised 5,3% of the shares in Company share capital and it provided the entity in question with 4,709,089 of votes at Annual General Shareholder Meeting, which constituted 5,3% of the total vote.</w:t>
      </w:r>
    </w:p>
    <w:p w:rsidR="00040C28" w:rsidRDefault="00040C28" w:rsidP="00270632">
      <w:pPr>
        <w:ind w:left="1440"/>
      </w:pPr>
      <w:r>
        <w:t>In the period between the balance sheet date</w:t>
      </w:r>
      <w:r w:rsidR="00380C83">
        <w:t xml:space="preserve"> and the day of preparation of the financial statement , the value of share capital and the structure thereof were not changed. As a result, the shareholder structure having a direct or indirect vote exceeding at least 5% during Annual General Shareholder Meeting as of March 19, 2</w:t>
      </w:r>
      <w:r w:rsidR="00A92873">
        <w:t xml:space="preserve">015 is as indicated in the </w:t>
      </w:r>
      <w:r w:rsidR="00380C83">
        <w:t>table</w:t>
      </w:r>
      <w:r w:rsidR="00A92873">
        <w:t xml:space="preserve"> above</w:t>
      </w:r>
      <w:r w:rsidR="00380C83">
        <w:t>.</w:t>
      </w:r>
      <w:r>
        <w:t xml:space="preserve"> </w:t>
      </w:r>
    </w:p>
    <w:p w:rsidR="00380C83" w:rsidRDefault="00A92873" w:rsidP="00270632">
      <w:pPr>
        <w:ind w:left="1440"/>
      </w:pPr>
      <w:r>
        <w:t>In case of investment funds whose share in Company share capital is between 5 and 10% , these funds can freely purchase and sell Company shares without any obligation to render information available about current shareholder structure. As a result, the shareholder structure as of the day of issuing of the foregoing report is compliant with the shareholder structure as of the balance sheet day.</w:t>
      </w:r>
    </w:p>
    <w:p w:rsidR="00A92873" w:rsidRDefault="00A92873" w:rsidP="00270632">
      <w:pPr>
        <w:ind w:left="1440"/>
      </w:pPr>
      <w:r>
        <w:t xml:space="preserve">Company equity as of December 31, 2014 comprised </w:t>
      </w:r>
      <w:r w:rsidR="003B638F">
        <w:t xml:space="preserve">PLN </w:t>
      </w:r>
      <w:r>
        <w:t>638,932 thousand</w:t>
      </w:r>
      <w:r w:rsidR="003B638F">
        <w:t>.</w:t>
      </w:r>
      <w:r>
        <w:t xml:space="preserve"> </w:t>
      </w:r>
    </w:p>
    <w:p w:rsidR="003A2FB1" w:rsidRDefault="003A2FB1" w:rsidP="00270632">
      <w:pPr>
        <w:ind w:left="1440"/>
      </w:pPr>
      <w:r>
        <w:t>Company is managed by the Management Board.</w:t>
      </w:r>
    </w:p>
    <w:p w:rsidR="003A2FB1" w:rsidRDefault="003A2FB1" w:rsidP="00270632">
      <w:pPr>
        <w:ind w:left="1440"/>
      </w:pPr>
      <w:r>
        <w:t>As of December 31, 2014 Management Board comprised:</w:t>
      </w:r>
    </w:p>
    <w:p w:rsidR="003A2FB1" w:rsidRDefault="003A2FB1" w:rsidP="003A2FB1">
      <w:pPr>
        <w:pStyle w:val="ListParagraph"/>
        <w:numPr>
          <w:ilvl w:val="0"/>
          <w:numId w:val="8"/>
        </w:numPr>
      </w:pPr>
      <w:r>
        <w:t xml:space="preserve">Mr. Wojciech Rajchert </w:t>
      </w:r>
      <w:r>
        <w:tab/>
      </w:r>
      <w:r>
        <w:tab/>
      </w:r>
      <w:r>
        <w:tab/>
        <w:t>Board Member</w:t>
      </w:r>
    </w:p>
    <w:p w:rsidR="003A2FB1" w:rsidRDefault="003A2FB1" w:rsidP="003A2FB1">
      <w:pPr>
        <w:pStyle w:val="ListParagraph"/>
        <w:numPr>
          <w:ilvl w:val="0"/>
          <w:numId w:val="8"/>
        </w:numPr>
      </w:pPr>
      <w:r>
        <w:t>Ms. Magdalena Starzyńsk</w:t>
      </w:r>
      <w:r>
        <w:tab/>
      </w:r>
      <w:r>
        <w:tab/>
      </w:r>
      <w:r>
        <w:tab/>
        <w:t>Board Member</w:t>
      </w:r>
    </w:p>
    <w:p w:rsidR="003A2FB1" w:rsidRDefault="003A2FB1" w:rsidP="003A2FB1">
      <w:pPr>
        <w:pStyle w:val="ListParagraph"/>
        <w:numPr>
          <w:ilvl w:val="0"/>
          <w:numId w:val="8"/>
        </w:numPr>
      </w:pPr>
      <w:r>
        <w:t>Ms. Małgorzata Ostrowska</w:t>
      </w:r>
      <w:r>
        <w:tab/>
      </w:r>
      <w:r>
        <w:tab/>
      </w:r>
      <w:r>
        <w:tab/>
        <w:t>Board Member</w:t>
      </w:r>
    </w:p>
    <w:p w:rsidR="003A2FB1" w:rsidRDefault="003A2FB1" w:rsidP="003A2FB1">
      <w:pPr>
        <w:ind w:left="720" w:firstLine="720"/>
      </w:pPr>
      <w:r>
        <w:lastRenderedPageBreak/>
        <w:t>In the audited period and until the end thereof there were changes the following changes in Company Management Board:</w:t>
      </w:r>
    </w:p>
    <w:p w:rsidR="003A2FB1" w:rsidRDefault="003A2FB1" w:rsidP="003A2FB1">
      <w:pPr>
        <w:pStyle w:val="ListParagraph"/>
        <w:numPr>
          <w:ilvl w:val="0"/>
          <w:numId w:val="8"/>
        </w:numPr>
      </w:pPr>
      <w:r>
        <w:t>on October 9, 2014, following a shareholder’s personal right holding more 50% of the shares, Ms. Irmina Łopuszyńska was dismissed from Management Board.</w:t>
      </w:r>
    </w:p>
    <w:p w:rsidR="003A2FB1" w:rsidRDefault="003A2FB1" w:rsidP="003A2FB1">
      <w:pPr>
        <w:pStyle w:val="ListParagraph"/>
        <w:ind w:left="1800"/>
      </w:pPr>
    </w:p>
    <w:p w:rsidR="000B1F99" w:rsidRDefault="003A2FB1" w:rsidP="003A2FB1">
      <w:pPr>
        <w:pStyle w:val="ListParagraph"/>
        <w:numPr>
          <w:ilvl w:val="0"/>
          <w:numId w:val="5"/>
        </w:numPr>
        <w:rPr>
          <w:b/>
        </w:rPr>
      </w:pPr>
      <w:r>
        <w:rPr>
          <w:b/>
        </w:rPr>
        <w:t>Data ident</w:t>
      </w:r>
      <w:r w:rsidR="000B1F99">
        <w:rPr>
          <w:b/>
        </w:rPr>
        <w:t>i</w:t>
      </w:r>
      <w:r>
        <w:rPr>
          <w:b/>
        </w:rPr>
        <w:t>fying</w:t>
      </w:r>
      <w:r w:rsidR="000B1F99">
        <w:rPr>
          <w:b/>
        </w:rPr>
        <w:t xml:space="preserve"> the entity and the certified auditor</w:t>
      </w:r>
    </w:p>
    <w:p w:rsidR="000B1F99" w:rsidRDefault="000B1F99" w:rsidP="000B1F99">
      <w:pPr>
        <w:pStyle w:val="ListParagraph"/>
        <w:ind w:left="1440"/>
        <w:rPr>
          <w:b/>
        </w:rPr>
      </w:pPr>
    </w:p>
    <w:p w:rsidR="000B1F99" w:rsidRDefault="000B1F99" w:rsidP="000B1F99">
      <w:pPr>
        <w:pStyle w:val="ListParagraph"/>
        <w:ind w:left="1440"/>
      </w:pPr>
      <w:r>
        <w:t>The audit of the financial statement of J.W. Construction Holding S.A. for 2014 was carried out by BDO Sp. z o.o. with its registered office in Warsaw, 12 Postępu street, an entity eligible to audit financial statements, entered into the Chamber of Certified Auditors with number 3355.</w:t>
      </w:r>
    </w:p>
    <w:p w:rsidR="000B1F99" w:rsidRDefault="000B1F99" w:rsidP="000B1F99">
      <w:pPr>
        <w:pStyle w:val="ListParagraph"/>
        <w:ind w:left="1440"/>
      </w:pPr>
    </w:p>
    <w:p w:rsidR="000B1F99" w:rsidRDefault="000B1F99" w:rsidP="000B1F99">
      <w:pPr>
        <w:pStyle w:val="ListParagraph"/>
        <w:ind w:left="1440"/>
      </w:pPr>
      <w:r>
        <w:t>The selection of a certified auditor was made by the Supervisory Board of the audited Company following a resolution no. 1 of July 21, 2014.</w:t>
      </w:r>
    </w:p>
    <w:p w:rsidR="000B1F99" w:rsidRDefault="000B1F99" w:rsidP="000B1F99">
      <w:pPr>
        <w:pStyle w:val="ListParagraph"/>
        <w:ind w:left="1440"/>
      </w:pPr>
    </w:p>
    <w:p w:rsidR="003A2FB1" w:rsidRDefault="000B1F99" w:rsidP="000B1F99">
      <w:pPr>
        <w:pStyle w:val="ListParagraph"/>
        <w:ind w:left="1440"/>
        <w:rPr>
          <w:b/>
        </w:rPr>
      </w:pPr>
      <w:r>
        <w:t>The audit was carried out following an agreement to carry out audit of July 24, 2014 under supervision of a key certified auditor Edyta Kalińska (</w:t>
      </w:r>
      <w:r w:rsidR="008D78E4">
        <w:t>license number 10336). The audit was carried out on the Company premises</w:t>
      </w:r>
      <w:r w:rsidR="005D355C">
        <w:t>, starting on February 9, 2014 with intervals until the opinion was issued. It was preceded by a review of the financial statement for the first 6 months of 2014 and introductory research since December 8, 2014.</w:t>
      </w:r>
      <w:r w:rsidR="003A2FB1">
        <w:rPr>
          <w:b/>
        </w:rPr>
        <w:t xml:space="preserve"> </w:t>
      </w:r>
    </w:p>
    <w:p w:rsidR="006B389D" w:rsidRDefault="006B389D" w:rsidP="000B1F99">
      <w:pPr>
        <w:pStyle w:val="ListParagraph"/>
        <w:ind w:left="1440"/>
        <w:rPr>
          <w:b/>
        </w:rPr>
      </w:pPr>
    </w:p>
    <w:p w:rsidR="006B389D" w:rsidRDefault="006B389D" w:rsidP="000B1F99">
      <w:pPr>
        <w:pStyle w:val="ListParagraph"/>
        <w:ind w:left="1440"/>
      </w:pPr>
      <w:r>
        <w:t>We declare that BDO sp. z o.o., Management Board thereof and the certified auditor with the team auditing the financial statement meet the conditions to issue an unbiased and independent opinion regarding the audited financial statement in accordance with art. 56 section 3 and 4 of the Act on Certified Auditors and their self-governing body, entities eligible to audit financial statements and public supervision (Journal of Law of 2009, no. 77, item 649 as amended).</w:t>
      </w:r>
    </w:p>
    <w:p w:rsidR="006B389D" w:rsidRDefault="006B389D" w:rsidP="000B1F99">
      <w:pPr>
        <w:pStyle w:val="ListParagraph"/>
        <w:ind w:left="1440"/>
      </w:pPr>
    </w:p>
    <w:p w:rsidR="00E047D2" w:rsidRDefault="006B389D" w:rsidP="000B1F99">
      <w:pPr>
        <w:pStyle w:val="ListParagraph"/>
        <w:ind w:left="1440"/>
      </w:pPr>
      <w:r>
        <w:t xml:space="preserve">The Head of the audited unit made all the statements required by the certified auditor, explanations and information necessary </w:t>
      </w:r>
      <w:r w:rsidR="00E047D2">
        <w:t>to conduct the audit.</w:t>
      </w:r>
    </w:p>
    <w:p w:rsidR="00E047D2" w:rsidRDefault="00E047D2" w:rsidP="000B1F99">
      <w:pPr>
        <w:pStyle w:val="ListParagraph"/>
        <w:ind w:left="1440"/>
      </w:pPr>
    </w:p>
    <w:p w:rsidR="006B389D" w:rsidRDefault="00E047D2" w:rsidP="000B1F99">
      <w:pPr>
        <w:pStyle w:val="ListParagraph"/>
        <w:ind w:left="1440"/>
      </w:pPr>
      <w:r>
        <w:t>There were no constraints regarding the scope of the audit and the certified auditor was not</w:t>
      </w:r>
      <w:r w:rsidR="006B389D">
        <w:t xml:space="preserve"> </w:t>
      </w:r>
      <w:r>
        <w:t>limited in the selection of appropriate auditing methods.</w:t>
      </w:r>
    </w:p>
    <w:p w:rsidR="00E047D2" w:rsidRDefault="00E047D2" w:rsidP="000B1F99">
      <w:pPr>
        <w:pStyle w:val="ListParagraph"/>
        <w:ind w:left="1440"/>
      </w:pPr>
    </w:p>
    <w:p w:rsidR="00E047D2" w:rsidRDefault="00E047D2" w:rsidP="00E047D2">
      <w:pPr>
        <w:pStyle w:val="ListParagraph"/>
        <w:numPr>
          <w:ilvl w:val="0"/>
          <w:numId w:val="5"/>
        </w:numPr>
        <w:rPr>
          <w:b/>
        </w:rPr>
      </w:pPr>
      <w:r>
        <w:rPr>
          <w:b/>
        </w:rPr>
        <w:t>Information about the financial statement for the previous year</w:t>
      </w:r>
    </w:p>
    <w:p w:rsidR="00E047D2" w:rsidRDefault="00E047D2" w:rsidP="00E047D2">
      <w:pPr>
        <w:pStyle w:val="ListParagraph"/>
        <w:ind w:left="1440"/>
        <w:rPr>
          <w:b/>
        </w:rPr>
      </w:pPr>
    </w:p>
    <w:p w:rsidR="0006151A" w:rsidRDefault="00E047D2" w:rsidP="00E047D2">
      <w:pPr>
        <w:pStyle w:val="ListParagraph"/>
        <w:ind w:left="1440"/>
      </w:pPr>
      <w:r>
        <w:t xml:space="preserve">The basis for opening of </w:t>
      </w:r>
      <w:r w:rsidR="00EC12FC">
        <w:t xml:space="preserve">the </w:t>
      </w:r>
      <w:r>
        <w:t>ledgers</w:t>
      </w:r>
      <w:r w:rsidR="00EC12FC">
        <w:t xml:space="preserve"> was</w:t>
      </w:r>
      <w:r w:rsidR="00900F20">
        <w:t xml:space="preserve"> the financial statement made for the period encompassing January 1, 2013 through December 31, 2014, which was audited by BDO sp. z o.o. and received an opinion on the audit without reservations.</w:t>
      </w:r>
    </w:p>
    <w:p w:rsidR="0006151A" w:rsidRDefault="0006151A" w:rsidP="00E047D2">
      <w:pPr>
        <w:pStyle w:val="ListParagraph"/>
        <w:ind w:left="1440"/>
      </w:pPr>
    </w:p>
    <w:p w:rsidR="0006151A" w:rsidRDefault="0006151A" w:rsidP="00E047D2">
      <w:pPr>
        <w:pStyle w:val="ListParagraph"/>
        <w:ind w:left="1440"/>
      </w:pPr>
      <w:r>
        <w:lastRenderedPageBreak/>
        <w:t>The financial statement of Company for the period encompassing January 1, 2013 and December 31, 2013 was approved by a resolution no. 3 of the Annual General Meeting for Shareholders of May 15, 2014.</w:t>
      </w:r>
    </w:p>
    <w:p w:rsidR="00E16C88" w:rsidRDefault="0006151A" w:rsidP="00E047D2">
      <w:pPr>
        <w:pStyle w:val="ListParagraph"/>
        <w:ind w:left="1440"/>
      </w:pPr>
      <w:r>
        <w:t>By way of the resolution no. 7 of May 15, 2014</w:t>
      </w:r>
      <w:r w:rsidR="005828C2">
        <w:t>,</w:t>
      </w:r>
      <w:r>
        <w:t xml:space="preserve"> the Annual General Meeting of Shareholders decided to </w:t>
      </w:r>
      <w:r w:rsidR="00E16C88">
        <w:t>allot the net profit for the period between January 1, 2013 and December 31, 2013 in the amount of PLN 11,876 thousand to the share capital in full.</w:t>
      </w:r>
    </w:p>
    <w:p w:rsidR="00E16C88" w:rsidRDefault="00E16C88" w:rsidP="00E047D2">
      <w:pPr>
        <w:pStyle w:val="ListParagraph"/>
        <w:ind w:left="1440"/>
      </w:pPr>
    </w:p>
    <w:p w:rsidR="00E047D2" w:rsidRPr="00E047D2" w:rsidRDefault="00E16C88" w:rsidP="00E047D2">
      <w:pPr>
        <w:pStyle w:val="ListParagraph"/>
        <w:ind w:left="1440"/>
      </w:pPr>
      <w:r>
        <w:t>The financial statement for 2013 was deposited at the National Court Register on June 25, 2014.</w:t>
      </w:r>
      <w:r w:rsidR="0006151A">
        <w:t xml:space="preserve"> </w:t>
      </w:r>
      <w:r w:rsidR="00900F20">
        <w:t xml:space="preserve">     </w:t>
      </w:r>
      <w:r w:rsidR="00EC12FC">
        <w:t xml:space="preserve"> </w:t>
      </w:r>
      <w:r w:rsidR="00E047D2">
        <w:t xml:space="preserve"> </w:t>
      </w:r>
    </w:p>
    <w:p w:rsidR="00380C83" w:rsidRDefault="00380C83" w:rsidP="00270632">
      <w:pPr>
        <w:ind w:left="1440"/>
      </w:pPr>
    </w:p>
    <w:p w:rsidR="006E0949" w:rsidRDefault="003724C1" w:rsidP="00270632">
      <w:pPr>
        <w:ind w:left="1440"/>
      </w:pPr>
      <w:r>
        <w:t xml:space="preserve">   </w:t>
      </w:r>
    </w:p>
    <w:p w:rsidR="00E75723" w:rsidRDefault="00E75723" w:rsidP="00270632">
      <w:pPr>
        <w:ind w:left="1440"/>
      </w:pPr>
    </w:p>
    <w:p w:rsidR="00F81194" w:rsidRDefault="00F81194" w:rsidP="00270632">
      <w:pPr>
        <w:ind w:left="1440"/>
      </w:pPr>
    </w:p>
    <w:p w:rsidR="00270632" w:rsidRDefault="00270632" w:rsidP="00270632">
      <w:pPr>
        <w:ind w:left="1440"/>
      </w:pPr>
    </w:p>
    <w:p w:rsidR="00270632" w:rsidRDefault="00270632" w:rsidP="00270632">
      <w:pPr>
        <w:ind w:left="1440"/>
      </w:pPr>
      <w:r>
        <w:t xml:space="preserve"> </w:t>
      </w:r>
    </w:p>
    <w:p w:rsidR="00270632" w:rsidRDefault="00270632" w:rsidP="00270632">
      <w:pPr>
        <w:ind w:left="1440"/>
      </w:pPr>
    </w:p>
    <w:p w:rsidR="00270632" w:rsidRDefault="00270632" w:rsidP="00270632">
      <w:pPr>
        <w:pStyle w:val="ListParagraph"/>
        <w:ind w:left="1800"/>
      </w:pPr>
    </w:p>
    <w:p w:rsidR="00702F3C" w:rsidRDefault="00702F3C" w:rsidP="00A35138">
      <w:pPr>
        <w:ind w:left="1440"/>
      </w:pPr>
    </w:p>
    <w:p w:rsidR="00702F3C" w:rsidRDefault="00702F3C" w:rsidP="00702F3C">
      <w:pPr>
        <w:pStyle w:val="ListParagraph"/>
        <w:ind w:left="1800"/>
      </w:pPr>
    </w:p>
    <w:p w:rsidR="00702F3C" w:rsidRDefault="00702F3C" w:rsidP="00A35138">
      <w:pPr>
        <w:ind w:left="1440"/>
      </w:pPr>
    </w:p>
    <w:p w:rsidR="00702F3C" w:rsidRDefault="00702F3C" w:rsidP="00702F3C">
      <w:pPr>
        <w:ind w:left="1440"/>
      </w:pPr>
    </w:p>
    <w:p w:rsidR="00A35138" w:rsidRDefault="00A35138" w:rsidP="00A35138">
      <w:pPr>
        <w:ind w:left="1440"/>
      </w:pPr>
      <w:r>
        <w:softHyphen/>
        <w:t xml:space="preserve">  </w:t>
      </w:r>
    </w:p>
    <w:p w:rsidR="00BE2448" w:rsidRDefault="00BE2448" w:rsidP="00A35138">
      <w:pPr>
        <w:ind w:left="1440"/>
      </w:pPr>
    </w:p>
    <w:p w:rsidR="00BE2448" w:rsidRDefault="00BE2448" w:rsidP="00A35138">
      <w:pPr>
        <w:ind w:left="1440"/>
      </w:pPr>
    </w:p>
    <w:p w:rsidR="00BE2448" w:rsidRDefault="00BE2448" w:rsidP="00A35138">
      <w:pPr>
        <w:ind w:left="1440"/>
      </w:pPr>
    </w:p>
    <w:p w:rsidR="00BE2448" w:rsidRDefault="00BE2448" w:rsidP="00A35138">
      <w:pPr>
        <w:ind w:left="1440"/>
      </w:pPr>
    </w:p>
    <w:p w:rsidR="00BE2448" w:rsidRDefault="00BE2448" w:rsidP="00A35138">
      <w:pPr>
        <w:ind w:left="1440"/>
      </w:pPr>
    </w:p>
    <w:p w:rsidR="00BE2448" w:rsidRDefault="00BE2448" w:rsidP="00A35138">
      <w:pPr>
        <w:ind w:left="1440"/>
      </w:pPr>
    </w:p>
    <w:p w:rsidR="00BE2448" w:rsidRDefault="00BE2448" w:rsidP="00A35138">
      <w:pPr>
        <w:ind w:left="1440"/>
      </w:pPr>
    </w:p>
    <w:p w:rsidR="00BE2448" w:rsidRDefault="00BE2448" w:rsidP="00A35138">
      <w:pPr>
        <w:ind w:left="1440"/>
      </w:pPr>
    </w:p>
    <w:p w:rsidR="00BE2448" w:rsidRDefault="00BE2448" w:rsidP="001A135D">
      <w:pPr>
        <w:pStyle w:val="ListParagraph"/>
        <w:numPr>
          <w:ilvl w:val="0"/>
          <w:numId w:val="3"/>
        </w:numPr>
        <w:ind w:left="1440"/>
        <w:rPr>
          <w:b/>
        </w:rPr>
      </w:pPr>
      <w:r>
        <w:rPr>
          <w:b/>
        </w:rPr>
        <w:t>FINANCIAL ANALYSIS OF COMPANY</w:t>
      </w:r>
    </w:p>
    <w:p w:rsidR="00BE2448" w:rsidRDefault="00BE2448" w:rsidP="001A135D">
      <w:pPr>
        <w:pStyle w:val="ListParagraph"/>
        <w:ind w:left="1440"/>
        <w:rPr>
          <w:b/>
        </w:rPr>
      </w:pPr>
    </w:p>
    <w:p w:rsidR="00BE2448" w:rsidRDefault="00BE2448" w:rsidP="001A135D">
      <w:pPr>
        <w:pStyle w:val="ListParagraph"/>
        <w:ind w:left="1440"/>
      </w:pPr>
      <w:r>
        <w:t>Below selected figures from the financial statement, profit and loss account and key financial indicators are presented juxtaposed with analogous data from the previous years.</w:t>
      </w:r>
    </w:p>
    <w:p w:rsidR="00BE2448" w:rsidRDefault="00BE2448" w:rsidP="001A135D">
      <w:pPr>
        <w:pStyle w:val="ListParagraph"/>
        <w:ind w:left="1440"/>
      </w:pPr>
    </w:p>
    <w:p w:rsidR="00BE2448" w:rsidRDefault="00BE2448" w:rsidP="001A135D">
      <w:pPr>
        <w:pStyle w:val="ListParagraph"/>
        <w:numPr>
          <w:ilvl w:val="0"/>
          <w:numId w:val="9"/>
        </w:numPr>
        <w:ind w:left="1800"/>
        <w:rPr>
          <w:b/>
        </w:rPr>
      </w:pPr>
      <w:r>
        <w:rPr>
          <w:b/>
        </w:rPr>
        <w:t xml:space="preserve">Basic figures for the </w:t>
      </w:r>
      <w:r w:rsidR="001A135D">
        <w:rPr>
          <w:b/>
        </w:rPr>
        <w:t>report on the economic position and profit and loss account (in thousands of Polish zlotys)</w:t>
      </w:r>
    </w:p>
    <w:p w:rsidR="001A135D" w:rsidRDefault="001A135D" w:rsidP="001A135D">
      <w:pPr>
        <w:pStyle w:val="ListParagraph"/>
        <w:ind w:left="1800"/>
        <w:rPr>
          <w:b/>
        </w:rPr>
      </w:pPr>
    </w:p>
    <w:p w:rsidR="001A135D" w:rsidRPr="001A135D" w:rsidRDefault="001A135D" w:rsidP="001A135D">
      <w:pPr>
        <w:pStyle w:val="ListParagraph"/>
        <w:ind w:left="1800"/>
        <w:rPr>
          <w:b/>
          <w:sz w:val="18"/>
          <w:szCs w:val="18"/>
        </w:rPr>
      </w:pPr>
    </w:p>
    <w:p w:rsidR="001A135D" w:rsidRPr="001A135D" w:rsidRDefault="001A135D" w:rsidP="001A135D">
      <w:pPr>
        <w:spacing w:line="240" w:lineRule="auto"/>
        <w:ind w:left="2160" w:firstLine="720"/>
        <w:rPr>
          <w:b/>
          <w:sz w:val="18"/>
          <w:szCs w:val="18"/>
        </w:rPr>
      </w:pPr>
      <w:r w:rsidRPr="001A135D">
        <w:rPr>
          <w:b/>
          <w:sz w:val="18"/>
          <w:szCs w:val="18"/>
        </w:rPr>
        <w:t>% of balance</w:t>
      </w:r>
      <w:r w:rsidRPr="001A135D">
        <w:rPr>
          <w:sz w:val="18"/>
          <w:szCs w:val="18"/>
        </w:rPr>
        <w:tab/>
      </w:r>
      <w:r w:rsidRPr="001A135D">
        <w:rPr>
          <w:sz w:val="18"/>
          <w:szCs w:val="18"/>
        </w:rPr>
        <w:tab/>
      </w:r>
      <w:r w:rsidRPr="001A135D">
        <w:rPr>
          <w:sz w:val="18"/>
          <w:szCs w:val="18"/>
        </w:rPr>
        <w:tab/>
      </w:r>
      <w:r w:rsidRPr="001A135D">
        <w:rPr>
          <w:b/>
          <w:sz w:val="18"/>
          <w:szCs w:val="18"/>
        </w:rPr>
        <w:t>% of balance</w:t>
      </w:r>
      <w:r w:rsidRPr="001A135D">
        <w:rPr>
          <w:sz w:val="18"/>
          <w:szCs w:val="18"/>
        </w:rPr>
        <w:tab/>
      </w:r>
      <w:r w:rsidRPr="001A135D">
        <w:rPr>
          <w:sz w:val="18"/>
          <w:szCs w:val="18"/>
        </w:rPr>
        <w:tab/>
      </w:r>
      <w:r w:rsidRPr="001A135D">
        <w:rPr>
          <w:b/>
          <w:sz w:val="18"/>
          <w:szCs w:val="18"/>
        </w:rPr>
        <w:t xml:space="preserve">      % of balance</w:t>
      </w:r>
      <w:r w:rsidRPr="001A135D">
        <w:rPr>
          <w:sz w:val="18"/>
          <w:szCs w:val="18"/>
        </w:rPr>
        <w:tab/>
      </w:r>
    </w:p>
    <w:p w:rsidR="001A135D" w:rsidRDefault="001A135D" w:rsidP="001A135D">
      <w:pPr>
        <w:pStyle w:val="ListParagraph"/>
        <w:spacing w:line="240" w:lineRule="auto"/>
        <w:ind w:left="1800"/>
        <w:rPr>
          <w:b/>
          <w:sz w:val="18"/>
          <w:szCs w:val="18"/>
        </w:rPr>
      </w:pPr>
      <w:r w:rsidRPr="001A135D">
        <w:rPr>
          <w:sz w:val="18"/>
          <w:szCs w:val="18"/>
          <w:u w:val="single"/>
        </w:rPr>
        <w:t>31.12.2014</w:t>
      </w:r>
      <w:r w:rsidRPr="001A135D">
        <w:rPr>
          <w:sz w:val="18"/>
          <w:szCs w:val="18"/>
        </w:rPr>
        <w:t xml:space="preserve"> </w:t>
      </w:r>
      <w:r w:rsidRPr="001A135D">
        <w:rPr>
          <w:sz w:val="18"/>
          <w:szCs w:val="18"/>
        </w:rPr>
        <w:tab/>
      </w:r>
      <w:r w:rsidRPr="001A135D">
        <w:rPr>
          <w:b/>
          <w:sz w:val="18"/>
          <w:szCs w:val="18"/>
        </w:rPr>
        <w:t>sheet total</w:t>
      </w:r>
      <w:r w:rsidRPr="001A135D">
        <w:rPr>
          <w:sz w:val="18"/>
          <w:szCs w:val="18"/>
        </w:rPr>
        <w:tab/>
        <w:t xml:space="preserve"> </w:t>
      </w:r>
      <w:r w:rsidRPr="001A135D">
        <w:rPr>
          <w:sz w:val="18"/>
          <w:szCs w:val="18"/>
          <w:u w:val="single"/>
        </w:rPr>
        <w:t>31.12.2013</w:t>
      </w:r>
      <w:r w:rsidRPr="001A135D">
        <w:rPr>
          <w:sz w:val="18"/>
          <w:szCs w:val="18"/>
        </w:rPr>
        <w:t xml:space="preserve"> </w:t>
      </w:r>
      <w:r w:rsidRPr="001A135D">
        <w:rPr>
          <w:sz w:val="18"/>
          <w:szCs w:val="18"/>
        </w:rPr>
        <w:tab/>
      </w:r>
      <w:r w:rsidRPr="001A135D">
        <w:rPr>
          <w:b/>
          <w:sz w:val="18"/>
          <w:szCs w:val="18"/>
        </w:rPr>
        <w:t>sheet total</w:t>
      </w:r>
      <w:r w:rsidRPr="001A135D">
        <w:rPr>
          <w:sz w:val="18"/>
          <w:szCs w:val="18"/>
        </w:rPr>
        <w:tab/>
      </w:r>
      <w:r w:rsidRPr="001A135D">
        <w:rPr>
          <w:sz w:val="18"/>
          <w:szCs w:val="18"/>
          <w:u w:val="single"/>
        </w:rPr>
        <w:t>31.12.2012</w:t>
      </w:r>
      <w:r w:rsidRPr="001A135D">
        <w:rPr>
          <w:sz w:val="18"/>
          <w:szCs w:val="18"/>
        </w:rPr>
        <w:t xml:space="preserve">   </w:t>
      </w:r>
      <w:r w:rsidRPr="001A135D">
        <w:rPr>
          <w:b/>
          <w:sz w:val="18"/>
          <w:szCs w:val="18"/>
        </w:rPr>
        <w:t>sheet total</w:t>
      </w:r>
    </w:p>
    <w:p w:rsidR="001A135D" w:rsidRDefault="001A135D" w:rsidP="001A135D">
      <w:pPr>
        <w:spacing w:line="240" w:lineRule="auto"/>
        <w:rPr>
          <w:sz w:val="18"/>
          <w:szCs w:val="18"/>
        </w:rPr>
      </w:pPr>
      <w:r>
        <w:rPr>
          <w:sz w:val="18"/>
          <w:szCs w:val="18"/>
        </w:rPr>
        <w:tab/>
      </w:r>
      <w:r w:rsidR="00CF4370">
        <w:rPr>
          <w:sz w:val="18"/>
          <w:szCs w:val="18"/>
        </w:rPr>
        <w:t>Fixed assets          836, 512</w:t>
      </w:r>
      <w:r w:rsidR="00CF4370">
        <w:rPr>
          <w:sz w:val="18"/>
          <w:szCs w:val="18"/>
        </w:rPr>
        <w:tab/>
        <w:t xml:space="preserve">             69,7</w:t>
      </w:r>
      <w:r w:rsidR="00CF4370">
        <w:rPr>
          <w:sz w:val="18"/>
          <w:szCs w:val="18"/>
        </w:rPr>
        <w:tab/>
        <w:t xml:space="preserve">       801,365</w:t>
      </w:r>
      <w:r w:rsidR="00CF4370">
        <w:rPr>
          <w:sz w:val="18"/>
          <w:szCs w:val="18"/>
        </w:rPr>
        <w:tab/>
      </w:r>
      <w:r w:rsidR="00CF4370">
        <w:rPr>
          <w:sz w:val="18"/>
          <w:szCs w:val="18"/>
        </w:rPr>
        <w:tab/>
        <w:t>62,2</w:t>
      </w:r>
      <w:r w:rsidR="00CF4370">
        <w:rPr>
          <w:sz w:val="18"/>
          <w:szCs w:val="18"/>
        </w:rPr>
        <w:tab/>
        <w:t xml:space="preserve">      826,528</w:t>
      </w:r>
      <w:r w:rsidR="00CF4370">
        <w:rPr>
          <w:sz w:val="18"/>
          <w:szCs w:val="18"/>
        </w:rPr>
        <w:tab/>
        <w:t>56,9</w:t>
      </w:r>
    </w:p>
    <w:p w:rsidR="00CF4370" w:rsidRDefault="00CF4370" w:rsidP="001A135D">
      <w:pPr>
        <w:spacing w:line="240" w:lineRule="auto"/>
        <w:rPr>
          <w:sz w:val="18"/>
          <w:szCs w:val="18"/>
        </w:rPr>
      </w:pPr>
      <w:r>
        <w:rPr>
          <w:sz w:val="18"/>
          <w:szCs w:val="18"/>
        </w:rPr>
        <w:tab/>
        <w:t>Current assets       362,900</w:t>
      </w:r>
      <w:r>
        <w:rPr>
          <w:sz w:val="18"/>
          <w:szCs w:val="18"/>
        </w:rPr>
        <w:tab/>
        <w:t xml:space="preserve">             30,3</w:t>
      </w:r>
      <w:r>
        <w:rPr>
          <w:sz w:val="18"/>
          <w:szCs w:val="18"/>
        </w:rPr>
        <w:tab/>
        <w:t xml:space="preserve">       486,662</w:t>
      </w:r>
      <w:r>
        <w:rPr>
          <w:sz w:val="18"/>
          <w:szCs w:val="18"/>
        </w:rPr>
        <w:tab/>
      </w:r>
      <w:r>
        <w:rPr>
          <w:sz w:val="18"/>
          <w:szCs w:val="18"/>
        </w:rPr>
        <w:tab/>
        <w:t>37,8</w:t>
      </w:r>
      <w:r>
        <w:rPr>
          <w:sz w:val="18"/>
          <w:szCs w:val="18"/>
        </w:rPr>
        <w:tab/>
        <w:t xml:space="preserve">      625,522</w:t>
      </w:r>
      <w:r>
        <w:rPr>
          <w:sz w:val="18"/>
          <w:szCs w:val="18"/>
        </w:rPr>
        <w:tab/>
        <w:t xml:space="preserve"> 43,1</w:t>
      </w:r>
    </w:p>
    <w:p w:rsidR="00CF4370" w:rsidRDefault="00CF4370" w:rsidP="001A135D">
      <w:pPr>
        <w:spacing w:line="240" w:lineRule="auto"/>
        <w:rPr>
          <w:sz w:val="18"/>
          <w:szCs w:val="18"/>
        </w:rPr>
      </w:pPr>
      <w:r>
        <w:rPr>
          <w:sz w:val="18"/>
          <w:szCs w:val="18"/>
        </w:rPr>
        <w:tab/>
      </w:r>
      <w:r w:rsidRPr="008A0433">
        <w:rPr>
          <w:b/>
          <w:sz w:val="18"/>
          <w:szCs w:val="18"/>
        </w:rPr>
        <w:t>Assets in total</w:t>
      </w:r>
      <w:r>
        <w:rPr>
          <w:sz w:val="18"/>
          <w:szCs w:val="18"/>
        </w:rPr>
        <w:t xml:space="preserve">     </w:t>
      </w:r>
      <w:r w:rsidRPr="008A0433">
        <w:rPr>
          <w:b/>
          <w:sz w:val="18"/>
          <w:szCs w:val="18"/>
          <w:u w:val="single"/>
        </w:rPr>
        <w:t>1,199,412</w:t>
      </w:r>
      <w:r>
        <w:rPr>
          <w:sz w:val="18"/>
          <w:szCs w:val="18"/>
        </w:rPr>
        <w:tab/>
        <w:t xml:space="preserve">           100,0</w:t>
      </w:r>
      <w:r>
        <w:rPr>
          <w:sz w:val="18"/>
          <w:szCs w:val="18"/>
        </w:rPr>
        <w:tab/>
        <w:t xml:space="preserve">    </w:t>
      </w:r>
      <w:r w:rsidRPr="008A0433">
        <w:rPr>
          <w:b/>
          <w:sz w:val="18"/>
          <w:szCs w:val="18"/>
          <w:u w:val="single"/>
        </w:rPr>
        <w:t>1,288,027</w:t>
      </w:r>
      <w:r>
        <w:rPr>
          <w:sz w:val="18"/>
          <w:szCs w:val="18"/>
        </w:rPr>
        <w:tab/>
        <w:t xml:space="preserve">                100,0</w:t>
      </w:r>
      <w:r>
        <w:rPr>
          <w:sz w:val="18"/>
          <w:szCs w:val="18"/>
        </w:rPr>
        <w:tab/>
      </w:r>
      <w:r w:rsidRPr="008A0433">
        <w:rPr>
          <w:b/>
          <w:sz w:val="18"/>
          <w:szCs w:val="18"/>
          <w:u w:val="single"/>
        </w:rPr>
        <w:t xml:space="preserve">   1,452,050</w:t>
      </w:r>
      <w:r>
        <w:rPr>
          <w:sz w:val="18"/>
          <w:szCs w:val="18"/>
        </w:rPr>
        <w:t xml:space="preserve">             100,0</w:t>
      </w:r>
    </w:p>
    <w:p w:rsidR="008A0433" w:rsidRDefault="008A0433" w:rsidP="001A135D">
      <w:pPr>
        <w:spacing w:line="240" w:lineRule="auto"/>
        <w:rPr>
          <w:sz w:val="18"/>
          <w:szCs w:val="18"/>
        </w:rPr>
      </w:pPr>
      <w:r>
        <w:rPr>
          <w:sz w:val="18"/>
          <w:szCs w:val="18"/>
        </w:rPr>
        <w:tab/>
      </w:r>
    </w:p>
    <w:p w:rsidR="000D1EB3" w:rsidRDefault="008A0433" w:rsidP="00030578">
      <w:pPr>
        <w:spacing w:line="240" w:lineRule="auto"/>
        <w:rPr>
          <w:sz w:val="18"/>
          <w:szCs w:val="18"/>
        </w:rPr>
      </w:pPr>
      <w:r>
        <w:rPr>
          <w:sz w:val="18"/>
          <w:szCs w:val="18"/>
        </w:rPr>
        <w:tab/>
      </w:r>
    </w:p>
    <w:tbl>
      <w:tblPr>
        <w:tblStyle w:val="TableGrid"/>
        <w:tblW w:w="9576" w:type="dxa"/>
        <w:tblInd w:w="686" w:type="dxa"/>
        <w:tblLook w:val="04A0"/>
      </w:tblPr>
      <w:tblGrid>
        <w:gridCol w:w="1368"/>
        <w:gridCol w:w="1368"/>
        <w:gridCol w:w="1368"/>
        <w:gridCol w:w="1368"/>
        <w:gridCol w:w="1368"/>
        <w:gridCol w:w="1368"/>
        <w:gridCol w:w="1368"/>
      </w:tblGrid>
      <w:tr w:rsidR="000D1EB3" w:rsidTr="00AF7AB0">
        <w:tc>
          <w:tcPr>
            <w:tcW w:w="1368" w:type="dxa"/>
            <w:tcBorders>
              <w:top w:val="nil"/>
              <w:left w:val="nil"/>
              <w:bottom w:val="nil"/>
              <w:right w:val="nil"/>
            </w:tcBorders>
          </w:tcPr>
          <w:p w:rsidR="000D1EB3" w:rsidRDefault="000D1EB3" w:rsidP="00030578">
            <w:pPr>
              <w:rPr>
                <w:sz w:val="18"/>
                <w:szCs w:val="18"/>
              </w:rPr>
            </w:pPr>
          </w:p>
          <w:p w:rsidR="000D1EB3" w:rsidRPr="000D1EB3" w:rsidRDefault="000D1EB3" w:rsidP="00030578">
            <w:pPr>
              <w:rPr>
                <w:b/>
                <w:sz w:val="18"/>
                <w:szCs w:val="18"/>
              </w:rPr>
            </w:pPr>
            <w:r w:rsidRPr="000D1EB3">
              <w:rPr>
                <w:b/>
                <w:sz w:val="18"/>
                <w:szCs w:val="18"/>
              </w:rPr>
              <w:t>Specification</w:t>
            </w:r>
          </w:p>
        </w:tc>
        <w:tc>
          <w:tcPr>
            <w:tcW w:w="1368" w:type="dxa"/>
            <w:tcBorders>
              <w:top w:val="nil"/>
              <w:left w:val="nil"/>
              <w:bottom w:val="nil"/>
              <w:right w:val="nil"/>
            </w:tcBorders>
          </w:tcPr>
          <w:p w:rsidR="000D1EB3" w:rsidRPr="000D1EB3" w:rsidRDefault="000D1EB3" w:rsidP="00030578">
            <w:pPr>
              <w:jc w:val="center"/>
              <w:rPr>
                <w:b/>
                <w:sz w:val="18"/>
                <w:szCs w:val="18"/>
              </w:rPr>
            </w:pPr>
            <w:r w:rsidRPr="000D1EB3">
              <w:rPr>
                <w:b/>
                <w:sz w:val="18"/>
                <w:szCs w:val="18"/>
              </w:rPr>
              <w:t>1.01.2014-31.12.2014</w:t>
            </w:r>
          </w:p>
        </w:tc>
        <w:tc>
          <w:tcPr>
            <w:tcW w:w="1368" w:type="dxa"/>
            <w:tcBorders>
              <w:top w:val="nil"/>
              <w:left w:val="nil"/>
              <w:bottom w:val="nil"/>
              <w:right w:val="nil"/>
            </w:tcBorders>
          </w:tcPr>
          <w:p w:rsidR="000D1EB3" w:rsidRPr="000D1EB3" w:rsidRDefault="000D1EB3" w:rsidP="00030578">
            <w:pPr>
              <w:jc w:val="center"/>
              <w:rPr>
                <w:b/>
                <w:sz w:val="18"/>
                <w:szCs w:val="18"/>
              </w:rPr>
            </w:pPr>
            <w:r w:rsidRPr="000D1EB3">
              <w:rPr>
                <w:b/>
                <w:sz w:val="18"/>
                <w:szCs w:val="18"/>
              </w:rPr>
              <w:t>%</w:t>
            </w:r>
          </w:p>
          <w:p w:rsidR="000D1EB3" w:rsidRPr="000D1EB3" w:rsidRDefault="000D1EB3" w:rsidP="00030578">
            <w:pPr>
              <w:jc w:val="center"/>
              <w:rPr>
                <w:b/>
                <w:sz w:val="18"/>
                <w:szCs w:val="18"/>
              </w:rPr>
            </w:pPr>
            <w:r w:rsidRPr="000D1EB3">
              <w:rPr>
                <w:b/>
                <w:sz w:val="18"/>
                <w:szCs w:val="18"/>
              </w:rPr>
              <w:t xml:space="preserve"> of revenue</w:t>
            </w:r>
          </w:p>
        </w:tc>
        <w:tc>
          <w:tcPr>
            <w:tcW w:w="1368" w:type="dxa"/>
            <w:tcBorders>
              <w:top w:val="nil"/>
              <w:left w:val="nil"/>
              <w:bottom w:val="nil"/>
              <w:right w:val="nil"/>
            </w:tcBorders>
          </w:tcPr>
          <w:p w:rsidR="000D1EB3" w:rsidRPr="000D1EB3" w:rsidRDefault="000D1EB3" w:rsidP="00030578">
            <w:pPr>
              <w:jc w:val="center"/>
              <w:rPr>
                <w:b/>
                <w:sz w:val="18"/>
                <w:szCs w:val="18"/>
              </w:rPr>
            </w:pPr>
            <w:r w:rsidRPr="000D1EB3">
              <w:rPr>
                <w:b/>
                <w:sz w:val="18"/>
                <w:szCs w:val="18"/>
              </w:rPr>
              <w:t>1.01.2013-31.12.2013</w:t>
            </w:r>
          </w:p>
        </w:tc>
        <w:tc>
          <w:tcPr>
            <w:tcW w:w="1368" w:type="dxa"/>
            <w:tcBorders>
              <w:top w:val="nil"/>
              <w:left w:val="nil"/>
              <w:bottom w:val="nil"/>
              <w:right w:val="nil"/>
            </w:tcBorders>
          </w:tcPr>
          <w:p w:rsidR="000D1EB3" w:rsidRPr="000D1EB3" w:rsidRDefault="000D1EB3" w:rsidP="00030578">
            <w:pPr>
              <w:jc w:val="center"/>
              <w:rPr>
                <w:b/>
                <w:sz w:val="18"/>
                <w:szCs w:val="18"/>
              </w:rPr>
            </w:pPr>
            <w:r w:rsidRPr="000D1EB3">
              <w:rPr>
                <w:b/>
                <w:sz w:val="18"/>
                <w:szCs w:val="18"/>
              </w:rPr>
              <w:t>%</w:t>
            </w:r>
          </w:p>
          <w:p w:rsidR="000D1EB3" w:rsidRPr="000D1EB3" w:rsidRDefault="000D1EB3" w:rsidP="00030578">
            <w:pPr>
              <w:jc w:val="center"/>
              <w:rPr>
                <w:b/>
                <w:sz w:val="18"/>
                <w:szCs w:val="18"/>
              </w:rPr>
            </w:pPr>
            <w:r w:rsidRPr="000D1EB3">
              <w:rPr>
                <w:b/>
                <w:sz w:val="18"/>
                <w:szCs w:val="18"/>
              </w:rPr>
              <w:t>of revenue</w:t>
            </w:r>
          </w:p>
        </w:tc>
        <w:tc>
          <w:tcPr>
            <w:tcW w:w="1368" w:type="dxa"/>
            <w:tcBorders>
              <w:top w:val="nil"/>
              <w:left w:val="nil"/>
              <w:bottom w:val="nil"/>
              <w:right w:val="nil"/>
            </w:tcBorders>
          </w:tcPr>
          <w:p w:rsidR="000D1EB3" w:rsidRPr="000D1EB3" w:rsidRDefault="000D1EB3" w:rsidP="00030578">
            <w:pPr>
              <w:jc w:val="center"/>
              <w:rPr>
                <w:b/>
                <w:sz w:val="18"/>
                <w:szCs w:val="18"/>
              </w:rPr>
            </w:pPr>
            <w:r w:rsidRPr="000D1EB3">
              <w:rPr>
                <w:b/>
                <w:sz w:val="18"/>
                <w:szCs w:val="18"/>
              </w:rPr>
              <w:t>1.01.2012-31.12.2012</w:t>
            </w:r>
          </w:p>
        </w:tc>
        <w:tc>
          <w:tcPr>
            <w:tcW w:w="1368" w:type="dxa"/>
            <w:tcBorders>
              <w:top w:val="nil"/>
              <w:left w:val="nil"/>
              <w:bottom w:val="nil"/>
              <w:right w:val="nil"/>
            </w:tcBorders>
          </w:tcPr>
          <w:p w:rsidR="000D1EB3" w:rsidRPr="000D1EB3" w:rsidRDefault="000D1EB3" w:rsidP="00030578">
            <w:pPr>
              <w:jc w:val="center"/>
              <w:rPr>
                <w:b/>
                <w:sz w:val="18"/>
                <w:szCs w:val="18"/>
              </w:rPr>
            </w:pPr>
            <w:r w:rsidRPr="000D1EB3">
              <w:rPr>
                <w:b/>
                <w:sz w:val="18"/>
                <w:szCs w:val="18"/>
              </w:rPr>
              <w:t>%</w:t>
            </w:r>
          </w:p>
          <w:p w:rsidR="000D1EB3" w:rsidRPr="000D1EB3" w:rsidRDefault="000D1EB3" w:rsidP="00030578">
            <w:pPr>
              <w:jc w:val="center"/>
              <w:rPr>
                <w:b/>
                <w:sz w:val="18"/>
                <w:szCs w:val="18"/>
              </w:rPr>
            </w:pPr>
            <w:r w:rsidRPr="000D1EB3">
              <w:rPr>
                <w:b/>
                <w:sz w:val="18"/>
                <w:szCs w:val="18"/>
              </w:rPr>
              <w:t>of revenue</w:t>
            </w:r>
          </w:p>
        </w:tc>
      </w:tr>
      <w:tr w:rsidR="000D1EB3" w:rsidTr="00AF7AB0">
        <w:tc>
          <w:tcPr>
            <w:tcW w:w="1368" w:type="dxa"/>
            <w:tcBorders>
              <w:top w:val="nil"/>
              <w:left w:val="nil"/>
              <w:bottom w:val="nil"/>
              <w:right w:val="nil"/>
            </w:tcBorders>
          </w:tcPr>
          <w:p w:rsidR="000D1EB3" w:rsidRPr="000D1EB3" w:rsidRDefault="000D1EB3" w:rsidP="00030578">
            <w:pPr>
              <w:rPr>
                <w:sz w:val="18"/>
                <w:szCs w:val="18"/>
              </w:rPr>
            </w:pPr>
            <w:r>
              <w:rPr>
                <w:sz w:val="18"/>
                <w:szCs w:val="18"/>
              </w:rPr>
              <w:t>Revenue from sales</w:t>
            </w:r>
          </w:p>
        </w:tc>
        <w:tc>
          <w:tcPr>
            <w:tcW w:w="1368" w:type="dxa"/>
            <w:tcBorders>
              <w:top w:val="nil"/>
              <w:left w:val="nil"/>
              <w:bottom w:val="nil"/>
              <w:right w:val="nil"/>
            </w:tcBorders>
          </w:tcPr>
          <w:p w:rsidR="000D1EB3" w:rsidRDefault="000D1EB3" w:rsidP="00030578">
            <w:pPr>
              <w:jc w:val="right"/>
              <w:rPr>
                <w:sz w:val="18"/>
                <w:szCs w:val="18"/>
              </w:rPr>
            </w:pPr>
            <w:r>
              <w:rPr>
                <w:sz w:val="18"/>
                <w:szCs w:val="18"/>
              </w:rPr>
              <w:t>211,884</w:t>
            </w:r>
          </w:p>
        </w:tc>
        <w:tc>
          <w:tcPr>
            <w:tcW w:w="1368" w:type="dxa"/>
            <w:tcBorders>
              <w:top w:val="nil"/>
              <w:left w:val="nil"/>
              <w:bottom w:val="nil"/>
              <w:right w:val="nil"/>
            </w:tcBorders>
          </w:tcPr>
          <w:p w:rsidR="000D1EB3" w:rsidRDefault="000D1EB3" w:rsidP="00030578">
            <w:pPr>
              <w:jc w:val="right"/>
              <w:rPr>
                <w:sz w:val="18"/>
                <w:szCs w:val="18"/>
              </w:rPr>
            </w:pPr>
            <w:r>
              <w:rPr>
                <w:sz w:val="18"/>
                <w:szCs w:val="18"/>
              </w:rPr>
              <w:t>100,0</w:t>
            </w:r>
          </w:p>
        </w:tc>
        <w:tc>
          <w:tcPr>
            <w:tcW w:w="1368" w:type="dxa"/>
            <w:tcBorders>
              <w:top w:val="nil"/>
              <w:left w:val="nil"/>
              <w:bottom w:val="nil"/>
              <w:right w:val="nil"/>
            </w:tcBorders>
          </w:tcPr>
          <w:p w:rsidR="000D1EB3" w:rsidRDefault="000D1EB3" w:rsidP="00030578">
            <w:pPr>
              <w:jc w:val="right"/>
              <w:rPr>
                <w:sz w:val="18"/>
                <w:szCs w:val="18"/>
              </w:rPr>
            </w:pPr>
            <w:r>
              <w:rPr>
                <w:sz w:val="18"/>
                <w:szCs w:val="18"/>
              </w:rPr>
              <w:t>291,473</w:t>
            </w:r>
          </w:p>
        </w:tc>
        <w:tc>
          <w:tcPr>
            <w:tcW w:w="1368" w:type="dxa"/>
            <w:tcBorders>
              <w:top w:val="nil"/>
              <w:left w:val="nil"/>
              <w:bottom w:val="nil"/>
              <w:right w:val="nil"/>
            </w:tcBorders>
          </w:tcPr>
          <w:p w:rsidR="000D1EB3" w:rsidRDefault="000D1EB3" w:rsidP="00030578">
            <w:pPr>
              <w:jc w:val="right"/>
              <w:rPr>
                <w:sz w:val="18"/>
                <w:szCs w:val="18"/>
              </w:rPr>
            </w:pPr>
            <w:r>
              <w:rPr>
                <w:sz w:val="18"/>
                <w:szCs w:val="18"/>
              </w:rPr>
              <w:t>100,0</w:t>
            </w:r>
          </w:p>
        </w:tc>
        <w:tc>
          <w:tcPr>
            <w:tcW w:w="1368" w:type="dxa"/>
            <w:tcBorders>
              <w:top w:val="nil"/>
              <w:left w:val="nil"/>
              <w:bottom w:val="nil"/>
              <w:right w:val="nil"/>
            </w:tcBorders>
          </w:tcPr>
          <w:p w:rsidR="000D1EB3" w:rsidRDefault="000D1EB3" w:rsidP="00030578">
            <w:pPr>
              <w:jc w:val="right"/>
              <w:rPr>
                <w:sz w:val="18"/>
                <w:szCs w:val="18"/>
              </w:rPr>
            </w:pPr>
            <w:r>
              <w:rPr>
                <w:sz w:val="18"/>
                <w:szCs w:val="18"/>
              </w:rPr>
              <w:t>282,961</w:t>
            </w:r>
          </w:p>
        </w:tc>
        <w:tc>
          <w:tcPr>
            <w:tcW w:w="1368" w:type="dxa"/>
            <w:tcBorders>
              <w:top w:val="nil"/>
              <w:left w:val="nil"/>
              <w:bottom w:val="nil"/>
              <w:right w:val="nil"/>
            </w:tcBorders>
          </w:tcPr>
          <w:p w:rsidR="000D1EB3" w:rsidRDefault="000D1EB3" w:rsidP="00030578">
            <w:pPr>
              <w:jc w:val="right"/>
              <w:rPr>
                <w:sz w:val="18"/>
                <w:szCs w:val="18"/>
              </w:rPr>
            </w:pPr>
            <w:r>
              <w:rPr>
                <w:sz w:val="18"/>
                <w:szCs w:val="18"/>
              </w:rPr>
              <w:t>100,0</w:t>
            </w:r>
          </w:p>
        </w:tc>
      </w:tr>
      <w:tr w:rsidR="000D1EB3" w:rsidTr="00AF7AB0">
        <w:tc>
          <w:tcPr>
            <w:tcW w:w="1368" w:type="dxa"/>
            <w:tcBorders>
              <w:top w:val="nil"/>
              <w:left w:val="nil"/>
              <w:bottom w:val="nil"/>
              <w:right w:val="nil"/>
            </w:tcBorders>
          </w:tcPr>
          <w:p w:rsidR="000D1EB3" w:rsidRDefault="000D1EB3" w:rsidP="00030578">
            <w:pPr>
              <w:rPr>
                <w:sz w:val="18"/>
                <w:szCs w:val="18"/>
              </w:rPr>
            </w:pPr>
            <w:r>
              <w:rPr>
                <w:sz w:val="18"/>
                <w:szCs w:val="18"/>
              </w:rPr>
              <w:t>Costs of sold products</w:t>
            </w:r>
          </w:p>
        </w:tc>
        <w:tc>
          <w:tcPr>
            <w:tcW w:w="1368" w:type="dxa"/>
            <w:tcBorders>
              <w:top w:val="nil"/>
              <w:left w:val="nil"/>
              <w:bottom w:val="nil"/>
              <w:right w:val="nil"/>
            </w:tcBorders>
          </w:tcPr>
          <w:p w:rsidR="000D1EB3" w:rsidRDefault="000D1EB3" w:rsidP="00030578">
            <w:pPr>
              <w:jc w:val="right"/>
              <w:rPr>
                <w:sz w:val="18"/>
                <w:szCs w:val="18"/>
              </w:rPr>
            </w:pPr>
            <w:r>
              <w:rPr>
                <w:sz w:val="18"/>
                <w:szCs w:val="18"/>
              </w:rPr>
              <w:t>(173,635)</w:t>
            </w:r>
          </w:p>
        </w:tc>
        <w:tc>
          <w:tcPr>
            <w:tcW w:w="1368" w:type="dxa"/>
            <w:tcBorders>
              <w:top w:val="nil"/>
              <w:left w:val="nil"/>
              <w:bottom w:val="nil"/>
              <w:right w:val="nil"/>
            </w:tcBorders>
          </w:tcPr>
          <w:p w:rsidR="000D1EB3" w:rsidRDefault="000D1EB3" w:rsidP="00030578">
            <w:pPr>
              <w:jc w:val="right"/>
              <w:rPr>
                <w:sz w:val="18"/>
                <w:szCs w:val="18"/>
              </w:rPr>
            </w:pPr>
            <w:r>
              <w:rPr>
                <w:sz w:val="18"/>
                <w:szCs w:val="18"/>
              </w:rPr>
              <w:t>(81,9)</w:t>
            </w:r>
          </w:p>
        </w:tc>
        <w:tc>
          <w:tcPr>
            <w:tcW w:w="1368" w:type="dxa"/>
            <w:tcBorders>
              <w:top w:val="nil"/>
              <w:left w:val="nil"/>
              <w:bottom w:val="nil"/>
              <w:right w:val="nil"/>
            </w:tcBorders>
          </w:tcPr>
          <w:p w:rsidR="000D1EB3" w:rsidRDefault="000D1EB3" w:rsidP="00030578">
            <w:pPr>
              <w:jc w:val="right"/>
              <w:rPr>
                <w:sz w:val="18"/>
                <w:szCs w:val="18"/>
              </w:rPr>
            </w:pPr>
            <w:r>
              <w:rPr>
                <w:sz w:val="18"/>
                <w:szCs w:val="18"/>
              </w:rPr>
              <w:t>(235,344)</w:t>
            </w:r>
          </w:p>
        </w:tc>
        <w:tc>
          <w:tcPr>
            <w:tcW w:w="1368" w:type="dxa"/>
            <w:tcBorders>
              <w:top w:val="nil"/>
              <w:left w:val="nil"/>
              <w:bottom w:val="nil"/>
              <w:right w:val="nil"/>
            </w:tcBorders>
          </w:tcPr>
          <w:p w:rsidR="000D1EB3" w:rsidRDefault="000D1EB3" w:rsidP="00030578">
            <w:pPr>
              <w:jc w:val="right"/>
              <w:rPr>
                <w:sz w:val="18"/>
                <w:szCs w:val="18"/>
              </w:rPr>
            </w:pPr>
            <w:r>
              <w:rPr>
                <w:sz w:val="18"/>
                <w:szCs w:val="18"/>
              </w:rPr>
              <w:t>(80,7)</w:t>
            </w:r>
          </w:p>
        </w:tc>
        <w:tc>
          <w:tcPr>
            <w:tcW w:w="1368" w:type="dxa"/>
            <w:tcBorders>
              <w:top w:val="nil"/>
              <w:left w:val="nil"/>
              <w:bottom w:val="nil"/>
              <w:right w:val="nil"/>
            </w:tcBorders>
          </w:tcPr>
          <w:p w:rsidR="000D1EB3" w:rsidRDefault="000D1EB3" w:rsidP="00030578">
            <w:pPr>
              <w:jc w:val="right"/>
              <w:rPr>
                <w:sz w:val="18"/>
                <w:szCs w:val="18"/>
              </w:rPr>
            </w:pPr>
            <w:r>
              <w:rPr>
                <w:sz w:val="18"/>
                <w:szCs w:val="18"/>
              </w:rPr>
              <w:t>(211,798)</w:t>
            </w:r>
          </w:p>
        </w:tc>
        <w:tc>
          <w:tcPr>
            <w:tcW w:w="1368" w:type="dxa"/>
            <w:tcBorders>
              <w:top w:val="nil"/>
              <w:left w:val="nil"/>
              <w:bottom w:val="nil"/>
              <w:right w:val="nil"/>
            </w:tcBorders>
          </w:tcPr>
          <w:p w:rsidR="000D1EB3" w:rsidRDefault="000D1EB3" w:rsidP="00030578">
            <w:pPr>
              <w:jc w:val="right"/>
              <w:rPr>
                <w:sz w:val="18"/>
                <w:szCs w:val="18"/>
              </w:rPr>
            </w:pPr>
            <w:r>
              <w:rPr>
                <w:sz w:val="18"/>
                <w:szCs w:val="18"/>
              </w:rPr>
              <w:t>(74,9)</w:t>
            </w:r>
          </w:p>
        </w:tc>
      </w:tr>
      <w:tr w:rsidR="000D1EB3" w:rsidTr="00AF7AB0">
        <w:tc>
          <w:tcPr>
            <w:tcW w:w="1368" w:type="dxa"/>
            <w:tcBorders>
              <w:top w:val="nil"/>
              <w:left w:val="nil"/>
              <w:bottom w:val="nil"/>
              <w:right w:val="nil"/>
            </w:tcBorders>
          </w:tcPr>
          <w:p w:rsidR="000D1EB3" w:rsidRDefault="000D1EB3" w:rsidP="00030578">
            <w:pPr>
              <w:rPr>
                <w:sz w:val="18"/>
                <w:szCs w:val="18"/>
              </w:rPr>
            </w:pPr>
            <w:r>
              <w:rPr>
                <w:sz w:val="18"/>
                <w:szCs w:val="18"/>
              </w:rPr>
              <w:t>Gross result from sales</w:t>
            </w:r>
          </w:p>
        </w:tc>
        <w:tc>
          <w:tcPr>
            <w:tcW w:w="1368" w:type="dxa"/>
            <w:tcBorders>
              <w:top w:val="nil"/>
              <w:left w:val="nil"/>
              <w:bottom w:val="nil"/>
              <w:right w:val="nil"/>
            </w:tcBorders>
          </w:tcPr>
          <w:p w:rsidR="000D1EB3" w:rsidRDefault="000D1EB3" w:rsidP="00030578">
            <w:pPr>
              <w:jc w:val="right"/>
              <w:rPr>
                <w:sz w:val="18"/>
                <w:szCs w:val="18"/>
              </w:rPr>
            </w:pPr>
            <w:r>
              <w:rPr>
                <w:sz w:val="18"/>
                <w:szCs w:val="18"/>
              </w:rPr>
              <w:t>38,249</w:t>
            </w:r>
          </w:p>
        </w:tc>
        <w:tc>
          <w:tcPr>
            <w:tcW w:w="1368" w:type="dxa"/>
            <w:tcBorders>
              <w:top w:val="nil"/>
              <w:left w:val="nil"/>
              <w:bottom w:val="nil"/>
              <w:right w:val="nil"/>
            </w:tcBorders>
          </w:tcPr>
          <w:p w:rsidR="000D1EB3" w:rsidRDefault="000D1EB3" w:rsidP="00030578">
            <w:pPr>
              <w:jc w:val="right"/>
              <w:rPr>
                <w:sz w:val="18"/>
                <w:szCs w:val="18"/>
              </w:rPr>
            </w:pPr>
            <w:r>
              <w:rPr>
                <w:sz w:val="18"/>
                <w:szCs w:val="18"/>
              </w:rPr>
              <w:t>18,1</w:t>
            </w:r>
          </w:p>
        </w:tc>
        <w:tc>
          <w:tcPr>
            <w:tcW w:w="1368" w:type="dxa"/>
            <w:tcBorders>
              <w:top w:val="nil"/>
              <w:left w:val="nil"/>
              <w:bottom w:val="nil"/>
              <w:right w:val="nil"/>
            </w:tcBorders>
            <w:shd w:val="clear" w:color="auto" w:fill="FFFFFF" w:themeFill="background1"/>
          </w:tcPr>
          <w:p w:rsidR="000D1EB3" w:rsidRDefault="000D1EB3" w:rsidP="00030578">
            <w:pPr>
              <w:jc w:val="right"/>
              <w:rPr>
                <w:sz w:val="18"/>
                <w:szCs w:val="18"/>
              </w:rPr>
            </w:pPr>
            <w:r>
              <w:rPr>
                <w:sz w:val="18"/>
                <w:szCs w:val="18"/>
              </w:rPr>
              <w:t>56,129</w:t>
            </w:r>
          </w:p>
        </w:tc>
        <w:tc>
          <w:tcPr>
            <w:tcW w:w="1368" w:type="dxa"/>
            <w:tcBorders>
              <w:top w:val="nil"/>
              <w:left w:val="nil"/>
              <w:bottom w:val="nil"/>
              <w:right w:val="nil"/>
            </w:tcBorders>
          </w:tcPr>
          <w:p w:rsidR="000D1EB3" w:rsidRDefault="000D1EB3" w:rsidP="00030578">
            <w:pPr>
              <w:jc w:val="right"/>
              <w:rPr>
                <w:sz w:val="18"/>
                <w:szCs w:val="18"/>
              </w:rPr>
            </w:pPr>
            <w:r>
              <w:rPr>
                <w:sz w:val="18"/>
                <w:szCs w:val="18"/>
              </w:rPr>
              <w:t>19,3</w:t>
            </w:r>
          </w:p>
        </w:tc>
        <w:tc>
          <w:tcPr>
            <w:tcW w:w="1368" w:type="dxa"/>
            <w:tcBorders>
              <w:top w:val="nil"/>
              <w:left w:val="nil"/>
              <w:bottom w:val="nil"/>
              <w:right w:val="nil"/>
            </w:tcBorders>
          </w:tcPr>
          <w:p w:rsidR="000D1EB3" w:rsidRDefault="000D1EB3" w:rsidP="00030578">
            <w:pPr>
              <w:jc w:val="right"/>
              <w:rPr>
                <w:sz w:val="18"/>
                <w:szCs w:val="18"/>
              </w:rPr>
            </w:pPr>
            <w:r>
              <w:rPr>
                <w:sz w:val="18"/>
                <w:szCs w:val="18"/>
              </w:rPr>
              <w:t>71,163</w:t>
            </w:r>
          </w:p>
        </w:tc>
        <w:tc>
          <w:tcPr>
            <w:tcW w:w="1368" w:type="dxa"/>
            <w:tcBorders>
              <w:top w:val="nil"/>
              <w:left w:val="nil"/>
              <w:bottom w:val="nil"/>
              <w:right w:val="nil"/>
            </w:tcBorders>
          </w:tcPr>
          <w:p w:rsidR="000D1EB3" w:rsidRDefault="000D1EB3" w:rsidP="00030578">
            <w:pPr>
              <w:jc w:val="right"/>
              <w:rPr>
                <w:sz w:val="18"/>
                <w:szCs w:val="18"/>
              </w:rPr>
            </w:pPr>
            <w:r>
              <w:rPr>
                <w:sz w:val="18"/>
                <w:szCs w:val="18"/>
              </w:rPr>
              <w:t>25,1</w:t>
            </w:r>
          </w:p>
        </w:tc>
      </w:tr>
      <w:tr w:rsidR="000D1EB3" w:rsidTr="00AF7AB0">
        <w:tc>
          <w:tcPr>
            <w:tcW w:w="1368" w:type="dxa"/>
            <w:tcBorders>
              <w:top w:val="nil"/>
              <w:left w:val="nil"/>
              <w:bottom w:val="nil"/>
              <w:right w:val="nil"/>
            </w:tcBorders>
          </w:tcPr>
          <w:p w:rsidR="000D1EB3" w:rsidRDefault="000D1EB3" w:rsidP="00030578">
            <w:pPr>
              <w:rPr>
                <w:sz w:val="18"/>
                <w:szCs w:val="18"/>
              </w:rPr>
            </w:pPr>
            <w:r>
              <w:rPr>
                <w:sz w:val="18"/>
                <w:szCs w:val="18"/>
              </w:rPr>
              <w:t>Sales costs &amp; overheads</w:t>
            </w:r>
          </w:p>
        </w:tc>
        <w:tc>
          <w:tcPr>
            <w:tcW w:w="1368" w:type="dxa"/>
            <w:tcBorders>
              <w:top w:val="nil"/>
              <w:left w:val="nil"/>
              <w:bottom w:val="nil"/>
              <w:right w:val="nil"/>
            </w:tcBorders>
          </w:tcPr>
          <w:p w:rsidR="000D1EB3" w:rsidRDefault="000D1EB3" w:rsidP="00030578">
            <w:pPr>
              <w:jc w:val="right"/>
              <w:rPr>
                <w:sz w:val="18"/>
                <w:szCs w:val="18"/>
              </w:rPr>
            </w:pPr>
            <w:r>
              <w:rPr>
                <w:sz w:val="18"/>
                <w:szCs w:val="18"/>
              </w:rPr>
              <w:t>(32,287)</w:t>
            </w:r>
          </w:p>
        </w:tc>
        <w:tc>
          <w:tcPr>
            <w:tcW w:w="1368" w:type="dxa"/>
            <w:tcBorders>
              <w:top w:val="nil"/>
              <w:left w:val="nil"/>
              <w:bottom w:val="nil"/>
              <w:right w:val="nil"/>
            </w:tcBorders>
          </w:tcPr>
          <w:p w:rsidR="000D1EB3" w:rsidRDefault="000D1EB3" w:rsidP="00030578">
            <w:pPr>
              <w:jc w:val="right"/>
              <w:rPr>
                <w:sz w:val="18"/>
                <w:szCs w:val="18"/>
              </w:rPr>
            </w:pPr>
            <w:r>
              <w:rPr>
                <w:sz w:val="18"/>
                <w:szCs w:val="18"/>
              </w:rPr>
              <w:t>(15,2)</w:t>
            </w:r>
          </w:p>
        </w:tc>
        <w:tc>
          <w:tcPr>
            <w:tcW w:w="1368" w:type="dxa"/>
            <w:tcBorders>
              <w:top w:val="nil"/>
              <w:left w:val="nil"/>
              <w:bottom w:val="nil"/>
              <w:right w:val="nil"/>
            </w:tcBorders>
          </w:tcPr>
          <w:p w:rsidR="000D1EB3" w:rsidRDefault="000D1EB3" w:rsidP="00030578">
            <w:pPr>
              <w:jc w:val="right"/>
              <w:rPr>
                <w:sz w:val="18"/>
                <w:szCs w:val="18"/>
              </w:rPr>
            </w:pPr>
            <w:r>
              <w:rPr>
                <w:sz w:val="18"/>
                <w:szCs w:val="18"/>
              </w:rPr>
              <w:t>(40,658,0)</w:t>
            </w:r>
          </w:p>
        </w:tc>
        <w:tc>
          <w:tcPr>
            <w:tcW w:w="1368" w:type="dxa"/>
            <w:tcBorders>
              <w:top w:val="nil"/>
              <w:left w:val="nil"/>
              <w:bottom w:val="nil"/>
              <w:right w:val="nil"/>
            </w:tcBorders>
          </w:tcPr>
          <w:p w:rsidR="000D1EB3" w:rsidRDefault="000D1EB3" w:rsidP="00030578">
            <w:pPr>
              <w:jc w:val="right"/>
              <w:rPr>
                <w:sz w:val="18"/>
                <w:szCs w:val="18"/>
              </w:rPr>
            </w:pPr>
            <w:r>
              <w:rPr>
                <w:sz w:val="18"/>
                <w:szCs w:val="18"/>
              </w:rPr>
              <w:t>(13,9)</w:t>
            </w:r>
          </w:p>
        </w:tc>
        <w:tc>
          <w:tcPr>
            <w:tcW w:w="1368" w:type="dxa"/>
            <w:tcBorders>
              <w:top w:val="nil"/>
              <w:left w:val="nil"/>
              <w:bottom w:val="nil"/>
              <w:right w:val="nil"/>
            </w:tcBorders>
          </w:tcPr>
          <w:p w:rsidR="000D1EB3" w:rsidRDefault="000D1EB3" w:rsidP="00030578">
            <w:pPr>
              <w:jc w:val="right"/>
              <w:rPr>
                <w:sz w:val="18"/>
                <w:szCs w:val="18"/>
              </w:rPr>
            </w:pPr>
            <w:r>
              <w:rPr>
                <w:sz w:val="18"/>
                <w:szCs w:val="18"/>
              </w:rPr>
              <w:t>(48,023)</w:t>
            </w:r>
          </w:p>
        </w:tc>
        <w:tc>
          <w:tcPr>
            <w:tcW w:w="1368" w:type="dxa"/>
            <w:tcBorders>
              <w:top w:val="nil"/>
              <w:left w:val="nil"/>
              <w:bottom w:val="nil"/>
              <w:right w:val="nil"/>
            </w:tcBorders>
          </w:tcPr>
          <w:p w:rsidR="000D1EB3" w:rsidRDefault="000D1EB3" w:rsidP="00030578">
            <w:pPr>
              <w:jc w:val="right"/>
              <w:rPr>
                <w:sz w:val="18"/>
                <w:szCs w:val="18"/>
              </w:rPr>
            </w:pPr>
            <w:r>
              <w:rPr>
                <w:sz w:val="18"/>
                <w:szCs w:val="18"/>
              </w:rPr>
              <w:t>(17,0)</w:t>
            </w:r>
          </w:p>
        </w:tc>
      </w:tr>
      <w:tr w:rsidR="000D1EB3" w:rsidTr="00AF7AB0">
        <w:tc>
          <w:tcPr>
            <w:tcW w:w="1368" w:type="dxa"/>
            <w:tcBorders>
              <w:top w:val="nil"/>
              <w:left w:val="nil"/>
              <w:bottom w:val="nil"/>
              <w:right w:val="nil"/>
            </w:tcBorders>
          </w:tcPr>
          <w:p w:rsidR="000D1EB3" w:rsidRDefault="000D1EB3" w:rsidP="00030578">
            <w:pPr>
              <w:rPr>
                <w:sz w:val="18"/>
                <w:szCs w:val="18"/>
              </w:rPr>
            </w:pPr>
            <w:r>
              <w:rPr>
                <w:sz w:val="18"/>
                <w:szCs w:val="18"/>
              </w:rPr>
              <w:t>Revaluation of real estate for investment</w:t>
            </w:r>
          </w:p>
        </w:tc>
        <w:tc>
          <w:tcPr>
            <w:tcW w:w="1368" w:type="dxa"/>
            <w:tcBorders>
              <w:top w:val="nil"/>
              <w:left w:val="nil"/>
              <w:bottom w:val="nil"/>
              <w:right w:val="nil"/>
            </w:tcBorders>
          </w:tcPr>
          <w:p w:rsidR="000D1EB3" w:rsidRDefault="000D1EB3" w:rsidP="00030578">
            <w:pPr>
              <w:jc w:val="right"/>
              <w:rPr>
                <w:sz w:val="18"/>
                <w:szCs w:val="18"/>
              </w:rPr>
            </w:pPr>
            <w:r>
              <w:rPr>
                <w:sz w:val="18"/>
                <w:szCs w:val="18"/>
              </w:rPr>
              <w:t>(442)</w:t>
            </w:r>
          </w:p>
        </w:tc>
        <w:tc>
          <w:tcPr>
            <w:tcW w:w="1368" w:type="dxa"/>
            <w:tcBorders>
              <w:top w:val="nil"/>
              <w:left w:val="nil"/>
              <w:bottom w:val="nil"/>
              <w:right w:val="nil"/>
            </w:tcBorders>
          </w:tcPr>
          <w:p w:rsidR="000D1EB3" w:rsidRDefault="000D1EB3" w:rsidP="00030578">
            <w:pPr>
              <w:jc w:val="right"/>
              <w:rPr>
                <w:sz w:val="18"/>
                <w:szCs w:val="18"/>
              </w:rPr>
            </w:pPr>
            <w:r>
              <w:rPr>
                <w:sz w:val="18"/>
                <w:szCs w:val="18"/>
              </w:rPr>
              <w:t>(0,2)</w:t>
            </w:r>
          </w:p>
        </w:tc>
        <w:tc>
          <w:tcPr>
            <w:tcW w:w="1368" w:type="dxa"/>
            <w:tcBorders>
              <w:top w:val="nil"/>
              <w:left w:val="nil"/>
              <w:bottom w:val="nil"/>
              <w:right w:val="nil"/>
            </w:tcBorders>
          </w:tcPr>
          <w:p w:rsidR="000D1EB3" w:rsidRDefault="000D1EB3" w:rsidP="00030578">
            <w:pPr>
              <w:jc w:val="right"/>
              <w:rPr>
                <w:sz w:val="18"/>
                <w:szCs w:val="18"/>
              </w:rPr>
            </w:pPr>
            <w:r>
              <w:rPr>
                <w:sz w:val="18"/>
                <w:szCs w:val="18"/>
              </w:rPr>
              <w:t>15,891</w:t>
            </w:r>
          </w:p>
        </w:tc>
        <w:tc>
          <w:tcPr>
            <w:tcW w:w="1368" w:type="dxa"/>
            <w:tcBorders>
              <w:top w:val="nil"/>
              <w:left w:val="nil"/>
              <w:bottom w:val="nil"/>
              <w:right w:val="nil"/>
            </w:tcBorders>
          </w:tcPr>
          <w:p w:rsidR="000D1EB3" w:rsidRDefault="000D1EB3" w:rsidP="00030578">
            <w:pPr>
              <w:jc w:val="right"/>
              <w:rPr>
                <w:sz w:val="18"/>
                <w:szCs w:val="18"/>
              </w:rPr>
            </w:pPr>
            <w:r>
              <w:rPr>
                <w:sz w:val="18"/>
                <w:szCs w:val="18"/>
              </w:rPr>
              <w:t>5,5</w:t>
            </w:r>
          </w:p>
        </w:tc>
        <w:tc>
          <w:tcPr>
            <w:tcW w:w="1368" w:type="dxa"/>
            <w:tcBorders>
              <w:top w:val="nil"/>
              <w:left w:val="nil"/>
              <w:bottom w:val="nil"/>
              <w:right w:val="nil"/>
            </w:tcBorders>
          </w:tcPr>
          <w:p w:rsidR="000D1EB3" w:rsidRDefault="000D1EB3" w:rsidP="00030578">
            <w:pPr>
              <w:jc w:val="right"/>
              <w:rPr>
                <w:sz w:val="18"/>
                <w:szCs w:val="18"/>
              </w:rPr>
            </w:pPr>
            <w:r>
              <w:rPr>
                <w:sz w:val="18"/>
                <w:szCs w:val="18"/>
              </w:rPr>
              <w:t>21,355</w:t>
            </w:r>
          </w:p>
        </w:tc>
        <w:tc>
          <w:tcPr>
            <w:tcW w:w="1368" w:type="dxa"/>
            <w:tcBorders>
              <w:top w:val="nil"/>
              <w:left w:val="nil"/>
              <w:bottom w:val="nil"/>
              <w:right w:val="nil"/>
            </w:tcBorders>
          </w:tcPr>
          <w:p w:rsidR="000D1EB3" w:rsidRDefault="000D1EB3" w:rsidP="00030578">
            <w:pPr>
              <w:jc w:val="right"/>
              <w:rPr>
                <w:sz w:val="18"/>
                <w:szCs w:val="18"/>
              </w:rPr>
            </w:pPr>
            <w:r>
              <w:rPr>
                <w:sz w:val="18"/>
                <w:szCs w:val="18"/>
              </w:rPr>
              <w:t>7,5</w:t>
            </w:r>
          </w:p>
        </w:tc>
      </w:tr>
      <w:tr w:rsidR="000D1EB3" w:rsidTr="00AF7AB0">
        <w:tc>
          <w:tcPr>
            <w:tcW w:w="1368" w:type="dxa"/>
            <w:tcBorders>
              <w:top w:val="nil"/>
              <w:left w:val="nil"/>
              <w:bottom w:val="nil"/>
              <w:right w:val="nil"/>
            </w:tcBorders>
          </w:tcPr>
          <w:p w:rsidR="000D1EB3" w:rsidRPr="00030578" w:rsidRDefault="000D1EB3" w:rsidP="00030578">
            <w:pPr>
              <w:rPr>
                <w:b/>
                <w:sz w:val="18"/>
                <w:szCs w:val="18"/>
              </w:rPr>
            </w:pPr>
            <w:r w:rsidRPr="00030578">
              <w:rPr>
                <w:b/>
                <w:sz w:val="18"/>
                <w:szCs w:val="18"/>
              </w:rPr>
              <w:t>Sales result</w:t>
            </w:r>
          </w:p>
        </w:tc>
        <w:tc>
          <w:tcPr>
            <w:tcW w:w="1368" w:type="dxa"/>
            <w:tcBorders>
              <w:top w:val="nil"/>
              <w:left w:val="nil"/>
              <w:bottom w:val="nil"/>
              <w:right w:val="nil"/>
            </w:tcBorders>
          </w:tcPr>
          <w:p w:rsidR="000D1EB3" w:rsidRPr="00030578" w:rsidRDefault="00030578" w:rsidP="00030578">
            <w:pPr>
              <w:jc w:val="right"/>
              <w:rPr>
                <w:b/>
                <w:sz w:val="18"/>
                <w:szCs w:val="18"/>
              </w:rPr>
            </w:pPr>
            <w:r w:rsidRPr="00030578">
              <w:rPr>
                <w:b/>
                <w:sz w:val="18"/>
                <w:szCs w:val="18"/>
              </w:rPr>
              <w:t>5,520</w:t>
            </w:r>
          </w:p>
        </w:tc>
        <w:tc>
          <w:tcPr>
            <w:tcW w:w="1368" w:type="dxa"/>
            <w:tcBorders>
              <w:top w:val="nil"/>
              <w:left w:val="nil"/>
              <w:bottom w:val="nil"/>
              <w:right w:val="nil"/>
            </w:tcBorders>
          </w:tcPr>
          <w:p w:rsidR="000D1EB3" w:rsidRPr="00030578" w:rsidRDefault="00030578" w:rsidP="00030578">
            <w:pPr>
              <w:jc w:val="right"/>
              <w:rPr>
                <w:b/>
                <w:sz w:val="18"/>
                <w:szCs w:val="18"/>
              </w:rPr>
            </w:pPr>
            <w:r w:rsidRPr="00030578">
              <w:rPr>
                <w:b/>
                <w:sz w:val="18"/>
                <w:szCs w:val="18"/>
              </w:rPr>
              <w:t>2,6</w:t>
            </w:r>
          </w:p>
        </w:tc>
        <w:tc>
          <w:tcPr>
            <w:tcW w:w="1368" w:type="dxa"/>
            <w:tcBorders>
              <w:top w:val="nil"/>
              <w:left w:val="nil"/>
              <w:bottom w:val="nil"/>
              <w:right w:val="nil"/>
            </w:tcBorders>
          </w:tcPr>
          <w:p w:rsidR="000D1EB3" w:rsidRPr="00030578" w:rsidRDefault="00030578" w:rsidP="00030578">
            <w:pPr>
              <w:jc w:val="right"/>
              <w:rPr>
                <w:b/>
                <w:sz w:val="18"/>
                <w:szCs w:val="18"/>
              </w:rPr>
            </w:pPr>
            <w:r w:rsidRPr="00030578">
              <w:rPr>
                <w:b/>
                <w:sz w:val="18"/>
                <w:szCs w:val="18"/>
              </w:rPr>
              <w:t>31,362</w:t>
            </w:r>
          </w:p>
        </w:tc>
        <w:tc>
          <w:tcPr>
            <w:tcW w:w="1368" w:type="dxa"/>
            <w:tcBorders>
              <w:top w:val="nil"/>
              <w:left w:val="nil"/>
              <w:bottom w:val="nil"/>
              <w:right w:val="nil"/>
            </w:tcBorders>
          </w:tcPr>
          <w:p w:rsidR="000D1EB3" w:rsidRPr="00030578" w:rsidRDefault="00030578" w:rsidP="00030578">
            <w:pPr>
              <w:jc w:val="right"/>
              <w:rPr>
                <w:b/>
                <w:sz w:val="18"/>
                <w:szCs w:val="18"/>
              </w:rPr>
            </w:pPr>
            <w:r w:rsidRPr="00030578">
              <w:rPr>
                <w:b/>
                <w:sz w:val="18"/>
                <w:szCs w:val="18"/>
              </w:rPr>
              <w:t>10,8</w:t>
            </w:r>
          </w:p>
        </w:tc>
        <w:tc>
          <w:tcPr>
            <w:tcW w:w="1368" w:type="dxa"/>
            <w:tcBorders>
              <w:top w:val="nil"/>
              <w:left w:val="nil"/>
              <w:bottom w:val="nil"/>
              <w:right w:val="nil"/>
            </w:tcBorders>
          </w:tcPr>
          <w:p w:rsidR="000D1EB3" w:rsidRPr="00030578" w:rsidRDefault="00030578" w:rsidP="00030578">
            <w:pPr>
              <w:jc w:val="right"/>
              <w:rPr>
                <w:b/>
                <w:sz w:val="18"/>
                <w:szCs w:val="18"/>
              </w:rPr>
            </w:pPr>
            <w:r w:rsidRPr="00030578">
              <w:rPr>
                <w:b/>
                <w:sz w:val="18"/>
                <w:szCs w:val="18"/>
              </w:rPr>
              <w:t>44,495</w:t>
            </w:r>
          </w:p>
        </w:tc>
        <w:tc>
          <w:tcPr>
            <w:tcW w:w="1368" w:type="dxa"/>
            <w:tcBorders>
              <w:top w:val="nil"/>
              <w:left w:val="nil"/>
              <w:bottom w:val="nil"/>
              <w:right w:val="nil"/>
            </w:tcBorders>
          </w:tcPr>
          <w:p w:rsidR="000D1EB3" w:rsidRPr="00030578" w:rsidRDefault="00030578" w:rsidP="00030578">
            <w:pPr>
              <w:jc w:val="right"/>
              <w:rPr>
                <w:b/>
                <w:sz w:val="18"/>
                <w:szCs w:val="18"/>
              </w:rPr>
            </w:pPr>
            <w:r w:rsidRPr="00030578">
              <w:rPr>
                <w:b/>
                <w:sz w:val="18"/>
                <w:szCs w:val="18"/>
              </w:rPr>
              <w:t>15,7</w:t>
            </w:r>
          </w:p>
        </w:tc>
      </w:tr>
      <w:tr w:rsidR="000D1EB3" w:rsidTr="00AF7AB0">
        <w:tc>
          <w:tcPr>
            <w:tcW w:w="1368" w:type="dxa"/>
            <w:tcBorders>
              <w:top w:val="nil"/>
              <w:left w:val="nil"/>
              <w:bottom w:val="nil"/>
              <w:right w:val="nil"/>
            </w:tcBorders>
          </w:tcPr>
          <w:p w:rsidR="000D1EB3" w:rsidRDefault="000D1EB3" w:rsidP="00030578">
            <w:pPr>
              <w:rPr>
                <w:sz w:val="18"/>
                <w:szCs w:val="18"/>
              </w:rPr>
            </w:pPr>
            <w:r>
              <w:rPr>
                <w:sz w:val="18"/>
                <w:szCs w:val="18"/>
              </w:rPr>
              <w:t>Result on other business operations</w:t>
            </w:r>
          </w:p>
        </w:tc>
        <w:tc>
          <w:tcPr>
            <w:tcW w:w="1368" w:type="dxa"/>
            <w:tcBorders>
              <w:top w:val="nil"/>
              <w:left w:val="nil"/>
              <w:bottom w:val="nil"/>
              <w:right w:val="nil"/>
            </w:tcBorders>
          </w:tcPr>
          <w:p w:rsidR="000D1EB3" w:rsidRDefault="00030578" w:rsidP="00030578">
            <w:pPr>
              <w:jc w:val="right"/>
              <w:rPr>
                <w:sz w:val="18"/>
                <w:szCs w:val="18"/>
              </w:rPr>
            </w:pPr>
            <w:r>
              <w:rPr>
                <w:sz w:val="18"/>
                <w:szCs w:val="18"/>
              </w:rPr>
              <w:t>3,748</w:t>
            </w:r>
          </w:p>
        </w:tc>
        <w:tc>
          <w:tcPr>
            <w:tcW w:w="1368" w:type="dxa"/>
            <w:tcBorders>
              <w:top w:val="nil"/>
              <w:left w:val="nil"/>
              <w:bottom w:val="nil"/>
              <w:right w:val="nil"/>
            </w:tcBorders>
          </w:tcPr>
          <w:p w:rsidR="000D1EB3" w:rsidRDefault="00030578" w:rsidP="00030578">
            <w:pPr>
              <w:jc w:val="right"/>
              <w:rPr>
                <w:sz w:val="18"/>
                <w:szCs w:val="18"/>
              </w:rPr>
            </w:pPr>
            <w:r>
              <w:rPr>
                <w:sz w:val="18"/>
                <w:szCs w:val="18"/>
              </w:rPr>
              <w:t>1,8</w:t>
            </w:r>
          </w:p>
        </w:tc>
        <w:tc>
          <w:tcPr>
            <w:tcW w:w="1368" w:type="dxa"/>
            <w:tcBorders>
              <w:top w:val="nil"/>
              <w:left w:val="nil"/>
              <w:bottom w:val="nil"/>
              <w:right w:val="nil"/>
            </w:tcBorders>
          </w:tcPr>
          <w:p w:rsidR="000D1EB3" w:rsidRDefault="00030578" w:rsidP="00030578">
            <w:pPr>
              <w:jc w:val="right"/>
              <w:rPr>
                <w:sz w:val="18"/>
                <w:szCs w:val="18"/>
              </w:rPr>
            </w:pPr>
            <w:r>
              <w:rPr>
                <w:sz w:val="18"/>
                <w:szCs w:val="18"/>
              </w:rPr>
              <w:t>2,730</w:t>
            </w:r>
          </w:p>
        </w:tc>
        <w:tc>
          <w:tcPr>
            <w:tcW w:w="1368" w:type="dxa"/>
            <w:tcBorders>
              <w:top w:val="nil"/>
              <w:left w:val="nil"/>
              <w:bottom w:val="nil"/>
              <w:right w:val="nil"/>
            </w:tcBorders>
          </w:tcPr>
          <w:p w:rsidR="000D1EB3" w:rsidRDefault="00030578" w:rsidP="00030578">
            <w:pPr>
              <w:jc w:val="right"/>
              <w:rPr>
                <w:sz w:val="18"/>
                <w:szCs w:val="18"/>
              </w:rPr>
            </w:pPr>
            <w:r>
              <w:rPr>
                <w:sz w:val="18"/>
                <w:szCs w:val="18"/>
              </w:rPr>
              <w:t>0,9</w:t>
            </w:r>
          </w:p>
        </w:tc>
        <w:tc>
          <w:tcPr>
            <w:tcW w:w="1368" w:type="dxa"/>
            <w:tcBorders>
              <w:top w:val="nil"/>
              <w:left w:val="nil"/>
              <w:bottom w:val="nil"/>
              <w:right w:val="nil"/>
            </w:tcBorders>
          </w:tcPr>
          <w:p w:rsidR="000D1EB3" w:rsidRDefault="00030578" w:rsidP="00030578">
            <w:pPr>
              <w:jc w:val="right"/>
              <w:rPr>
                <w:sz w:val="18"/>
                <w:szCs w:val="18"/>
              </w:rPr>
            </w:pPr>
            <w:r>
              <w:rPr>
                <w:sz w:val="18"/>
                <w:szCs w:val="18"/>
              </w:rPr>
              <w:t>7,388</w:t>
            </w:r>
          </w:p>
        </w:tc>
        <w:tc>
          <w:tcPr>
            <w:tcW w:w="1368" w:type="dxa"/>
            <w:tcBorders>
              <w:top w:val="nil"/>
              <w:left w:val="nil"/>
              <w:bottom w:val="nil"/>
              <w:right w:val="nil"/>
            </w:tcBorders>
          </w:tcPr>
          <w:p w:rsidR="000D1EB3" w:rsidRDefault="00030578" w:rsidP="00030578">
            <w:pPr>
              <w:jc w:val="right"/>
              <w:rPr>
                <w:sz w:val="18"/>
                <w:szCs w:val="18"/>
              </w:rPr>
            </w:pPr>
            <w:r>
              <w:rPr>
                <w:sz w:val="18"/>
                <w:szCs w:val="18"/>
              </w:rPr>
              <w:t>2,6</w:t>
            </w:r>
          </w:p>
        </w:tc>
      </w:tr>
      <w:tr w:rsidR="000D1EB3" w:rsidTr="00AF7AB0">
        <w:tc>
          <w:tcPr>
            <w:tcW w:w="1368" w:type="dxa"/>
            <w:tcBorders>
              <w:top w:val="nil"/>
              <w:left w:val="nil"/>
              <w:bottom w:val="nil"/>
              <w:right w:val="nil"/>
            </w:tcBorders>
          </w:tcPr>
          <w:p w:rsidR="000D1EB3" w:rsidRDefault="000D1EB3" w:rsidP="00030578">
            <w:pPr>
              <w:rPr>
                <w:sz w:val="18"/>
                <w:szCs w:val="18"/>
              </w:rPr>
            </w:pPr>
            <w:r>
              <w:rPr>
                <w:sz w:val="18"/>
                <w:szCs w:val="18"/>
              </w:rPr>
              <w:t>Gross financial result</w:t>
            </w:r>
          </w:p>
        </w:tc>
        <w:tc>
          <w:tcPr>
            <w:tcW w:w="1368" w:type="dxa"/>
            <w:tcBorders>
              <w:top w:val="nil"/>
              <w:left w:val="nil"/>
              <w:bottom w:val="nil"/>
              <w:right w:val="nil"/>
            </w:tcBorders>
          </w:tcPr>
          <w:p w:rsidR="000D1EB3" w:rsidRDefault="00030578" w:rsidP="00030578">
            <w:pPr>
              <w:jc w:val="right"/>
              <w:rPr>
                <w:sz w:val="18"/>
                <w:szCs w:val="18"/>
              </w:rPr>
            </w:pPr>
            <w:r>
              <w:rPr>
                <w:sz w:val="18"/>
                <w:szCs w:val="18"/>
              </w:rPr>
              <w:t>(13,267)</w:t>
            </w:r>
          </w:p>
        </w:tc>
        <w:tc>
          <w:tcPr>
            <w:tcW w:w="1368" w:type="dxa"/>
            <w:tcBorders>
              <w:top w:val="nil"/>
              <w:left w:val="nil"/>
              <w:bottom w:val="nil"/>
              <w:right w:val="nil"/>
            </w:tcBorders>
          </w:tcPr>
          <w:p w:rsidR="000D1EB3" w:rsidRDefault="00030578" w:rsidP="00030578">
            <w:pPr>
              <w:jc w:val="right"/>
              <w:rPr>
                <w:sz w:val="18"/>
                <w:szCs w:val="18"/>
              </w:rPr>
            </w:pPr>
            <w:r>
              <w:rPr>
                <w:sz w:val="18"/>
                <w:szCs w:val="18"/>
              </w:rPr>
              <w:t>(6,3)</w:t>
            </w:r>
          </w:p>
        </w:tc>
        <w:tc>
          <w:tcPr>
            <w:tcW w:w="1368" w:type="dxa"/>
            <w:tcBorders>
              <w:top w:val="nil"/>
              <w:left w:val="nil"/>
              <w:bottom w:val="nil"/>
              <w:right w:val="nil"/>
            </w:tcBorders>
          </w:tcPr>
          <w:p w:rsidR="000D1EB3" w:rsidRDefault="00030578" w:rsidP="00030578">
            <w:pPr>
              <w:jc w:val="right"/>
              <w:rPr>
                <w:sz w:val="18"/>
                <w:szCs w:val="18"/>
              </w:rPr>
            </w:pPr>
            <w:r>
              <w:rPr>
                <w:sz w:val="18"/>
                <w:szCs w:val="18"/>
              </w:rPr>
              <w:t>(19,921)</w:t>
            </w:r>
          </w:p>
        </w:tc>
        <w:tc>
          <w:tcPr>
            <w:tcW w:w="1368" w:type="dxa"/>
            <w:tcBorders>
              <w:top w:val="nil"/>
              <w:left w:val="nil"/>
              <w:bottom w:val="nil"/>
              <w:right w:val="nil"/>
            </w:tcBorders>
          </w:tcPr>
          <w:p w:rsidR="000D1EB3" w:rsidRDefault="00030578" w:rsidP="00030578">
            <w:pPr>
              <w:jc w:val="right"/>
              <w:rPr>
                <w:sz w:val="18"/>
                <w:szCs w:val="18"/>
              </w:rPr>
            </w:pPr>
            <w:r>
              <w:rPr>
                <w:sz w:val="18"/>
                <w:szCs w:val="18"/>
              </w:rPr>
              <w:t>(6,8)</w:t>
            </w:r>
          </w:p>
        </w:tc>
        <w:tc>
          <w:tcPr>
            <w:tcW w:w="1368" w:type="dxa"/>
            <w:tcBorders>
              <w:top w:val="nil"/>
              <w:left w:val="nil"/>
              <w:bottom w:val="nil"/>
              <w:right w:val="nil"/>
            </w:tcBorders>
          </w:tcPr>
          <w:p w:rsidR="000D1EB3" w:rsidRDefault="00030578" w:rsidP="00030578">
            <w:pPr>
              <w:jc w:val="right"/>
              <w:rPr>
                <w:sz w:val="18"/>
                <w:szCs w:val="18"/>
              </w:rPr>
            </w:pPr>
            <w:r>
              <w:rPr>
                <w:sz w:val="18"/>
                <w:szCs w:val="18"/>
              </w:rPr>
              <w:t>(40,659)</w:t>
            </w:r>
          </w:p>
        </w:tc>
        <w:tc>
          <w:tcPr>
            <w:tcW w:w="1368" w:type="dxa"/>
            <w:tcBorders>
              <w:top w:val="nil"/>
              <w:left w:val="nil"/>
              <w:bottom w:val="nil"/>
              <w:right w:val="nil"/>
            </w:tcBorders>
          </w:tcPr>
          <w:p w:rsidR="000D1EB3" w:rsidRDefault="00030578" w:rsidP="00030578">
            <w:pPr>
              <w:jc w:val="right"/>
              <w:rPr>
                <w:sz w:val="18"/>
                <w:szCs w:val="18"/>
              </w:rPr>
            </w:pPr>
            <w:r>
              <w:rPr>
                <w:sz w:val="18"/>
                <w:szCs w:val="18"/>
              </w:rPr>
              <w:t>(14,4)</w:t>
            </w:r>
          </w:p>
        </w:tc>
      </w:tr>
      <w:tr w:rsidR="000D1EB3" w:rsidTr="00AF7AB0">
        <w:tc>
          <w:tcPr>
            <w:tcW w:w="1368" w:type="dxa"/>
            <w:tcBorders>
              <w:top w:val="nil"/>
              <w:left w:val="nil"/>
              <w:bottom w:val="nil"/>
              <w:right w:val="nil"/>
            </w:tcBorders>
          </w:tcPr>
          <w:p w:rsidR="000D1EB3" w:rsidRDefault="000D1EB3" w:rsidP="00030578">
            <w:pPr>
              <w:rPr>
                <w:sz w:val="18"/>
                <w:szCs w:val="18"/>
              </w:rPr>
            </w:pPr>
            <w:r>
              <w:rPr>
                <w:sz w:val="18"/>
                <w:szCs w:val="18"/>
              </w:rPr>
              <w:t>Income tax</w:t>
            </w:r>
          </w:p>
        </w:tc>
        <w:tc>
          <w:tcPr>
            <w:tcW w:w="1368" w:type="dxa"/>
            <w:tcBorders>
              <w:top w:val="nil"/>
              <w:left w:val="nil"/>
              <w:bottom w:val="nil"/>
              <w:right w:val="nil"/>
            </w:tcBorders>
          </w:tcPr>
          <w:p w:rsidR="000D1EB3" w:rsidRDefault="00030578" w:rsidP="00030578">
            <w:pPr>
              <w:jc w:val="right"/>
              <w:rPr>
                <w:sz w:val="18"/>
                <w:szCs w:val="18"/>
              </w:rPr>
            </w:pPr>
            <w:r>
              <w:rPr>
                <w:sz w:val="18"/>
                <w:szCs w:val="18"/>
              </w:rPr>
              <w:t>(3,999)</w:t>
            </w:r>
          </w:p>
        </w:tc>
        <w:tc>
          <w:tcPr>
            <w:tcW w:w="1368" w:type="dxa"/>
            <w:tcBorders>
              <w:top w:val="nil"/>
              <w:left w:val="nil"/>
              <w:bottom w:val="nil"/>
              <w:right w:val="nil"/>
            </w:tcBorders>
          </w:tcPr>
          <w:p w:rsidR="000D1EB3" w:rsidRDefault="00030578" w:rsidP="00030578">
            <w:pPr>
              <w:jc w:val="right"/>
              <w:rPr>
                <w:sz w:val="18"/>
                <w:szCs w:val="18"/>
              </w:rPr>
            </w:pPr>
            <w:r>
              <w:rPr>
                <w:sz w:val="18"/>
                <w:szCs w:val="18"/>
              </w:rPr>
              <w:t>(1,9)</w:t>
            </w:r>
          </w:p>
        </w:tc>
        <w:tc>
          <w:tcPr>
            <w:tcW w:w="1368" w:type="dxa"/>
            <w:tcBorders>
              <w:top w:val="nil"/>
              <w:left w:val="nil"/>
              <w:bottom w:val="nil"/>
              <w:right w:val="nil"/>
            </w:tcBorders>
          </w:tcPr>
          <w:p w:rsidR="000D1EB3" w:rsidRDefault="00030578" w:rsidP="00030578">
            <w:pPr>
              <w:jc w:val="right"/>
              <w:rPr>
                <w:sz w:val="18"/>
                <w:szCs w:val="18"/>
              </w:rPr>
            </w:pPr>
            <w:r>
              <w:rPr>
                <w:sz w:val="18"/>
                <w:szCs w:val="18"/>
              </w:rPr>
              <w:t>14,171</w:t>
            </w:r>
          </w:p>
        </w:tc>
        <w:tc>
          <w:tcPr>
            <w:tcW w:w="1368" w:type="dxa"/>
            <w:tcBorders>
              <w:top w:val="nil"/>
              <w:left w:val="nil"/>
              <w:bottom w:val="nil"/>
              <w:right w:val="nil"/>
            </w:tcBorders>
          </w:tcPr>
          <w:p w:rsidR="000D1EB3" w:rsidRDefault="00030578" w:rsidP="00030578">
            <w:pPr>
              <w:jc w:val="right"/>
              <w:rPr>
                <w:sz w:val="18"/>
                <w:szCs w:val="18"/>
              </w:rPr>
            </w:pPr>
            <w:r>
              <w:rPr>
                <w:sz w:val="18"/>
                <w:szCs w:val="18"/>
              </w:rPr>
              <w:t>4,9</w:t>
            </w:r>
          </w:p>
        </w:tc>
        <w:tc>
          <w:tcPr>
            <w:tcW w:w="1368" w:type="dxa"/>
            <w:tcBorders>
              <w:top w:val="nil"/>
              <w:left w:val="nil"/>
              <w:bottom w:val="nil"/>
              <w:right w:val="nil"/>
            </w:tcBorders>
          </w:tcPr>
          <w:p w:rsidR="000D1EB3" w:rsidRDefault="00030578" w:rsidP="00030578">
            <w:pPr>
              <w:jc w:val="right"/>
              <w:rPr>
                <w:sz w:val="18"/>
                <w:szCs w:val="18"/>
              </w:rPr>
            </w:pPr>
            <w:r>
              <w:rPr>
                <w:sz w:val="18"/>
                <w:szCs w:val="18"/>
              </w:rPr>
              <w:t>11,224</w:t>
            </w:r>
          </w:p>
        </w:tc>
        <w:tc>
          <w:tcPr>
            <w:tcW w:w="1368" w:type="dxa"/>
            <w:tcBorders>
              <w:top w:val="nil"/>
              <w:left w:val="nil"/>
              <w:bottom w:val="nil"/>
              <w:right w:val="nil"/>
            </w:tcBorders>
          </w:tcPr>
          <w:p w:rsidR="000D1EB3" w:rsidRDefault="00030578" w:rsidP="00030578">
            <w:pPr>
              <w:jc w:val="right"/>
              <w:rPr>
                <w:sz w:val="18"/>
                <w:szCs w:val="18"/>
              </w:rPr>
            </w:pPr>
            <w:r>
              <w:rPr>
                <w:sz w:val="18"/>
                <w:szCs w:val="18"/>
              </w:rPr>
              <w:t>4,0</w:t>
            </w:r>
          </w:p>
        </w:tc>
      </w:tr>
      <w:tr w:rsidR="000D1EB3" w:rsidRPr="00030578" w:rsidTr="00AF7AB0">
        <w:tc>
          <w:tcPr>
            <w:tcW w:w="1368" w:type="dxa"/>
            <w:tcBorders>
              <w:top w:val="nil"/>
              <w:left w:val="nil"/>
              <w:bottom w:val="nil"/>
              <w:right w:val="nil"/>
            </w:tcBorders>
          </w:tcPr>
          <w:p w:rsidR="000D1EB3" w:rsidRDefault="000D1EB3" w:rsidP="00030578">
            <w:pPr>
              <w:rPr>
                <w:sz w:val="18"/>
                <w:szCs w:val="18"/>
              </w:rPr>
            </w:pPr>
            <w:r>
              <w:rPr>
                <w:sz w:val="18"/>
                <w:szCs w:val="18"/>
              </w:rPr>
              <w:t>Net financial result</w:t>
            </w:r>
          </w:p>
        </w:tc>
        <w:tc>
          <w:tcPr>
            <w:tcW w:w="1368" w:type="dxa"/>
            <w:tcBorders>
              <w:top w:val="nil"/>
              <w:left w:val="nil"/>
              <w:bottom w:val="nil"/>
              <w:right w:val="nil"/>
            </w:tcBorders>
          </w:tcPr>
          <w:p w:rsidR="000D1EB3" w:rsidRDefault="00030578" w:rsidP="00030578">
            <w:pPr>
              <w:jc w:val="right"/>
              <w:rPr>
                <w:sz w:val="18"/>
                <w:szCs w:val="18"/>
              </w:rPr>
            </w:pPr>
            <w:r>
              <w:rPr>
                <w:sz w:val="18"/>
                <w:szCs w:val="18"/>
              </w:rPr>
              <w:t>565</w:t>
            </w:r>
          </w:p>
        </w:tc>
        <w:tc>
          <w:tcPr>
            <w:tcW w:w="1368" w:type="dxa"/>
            <w:tcBorders>
              <w:top w:val="nil"/>
              <w:left w:val="nil"/>
              <w:bottom w:val="nil"/>
              <w:right w:val="nil"/>
            </w:tcBorders>
          </w:tcPr>
          <w:p w:rsidR="000D1EB3" w:rsidRDefault="00030578" w:rsidP="00030578">
            <w:pPr>
              <w:jc w:val="right"/>
              <w:rPr>
                <w:sz w:val="18"/>
                <w:szCs w:val="18"/>
              </w:rPr>
            </w:pPr>
            <w:r>
              <w:rPr>
                <w:sz w:val="18"/>
                <w:szCs w:val="18"/>
              </w:rPr>
              <w:t>0,3</w:t>
            </w:r>
          </w:p>
        </w:tc>
        <w:tc>
          <w:tcPr>
            <w:tcW w:w="1368" w:type="dxa"/>
            <w:tcBorders>
              <w:top w:val="nil"/>
              <w:left w:val="nil"/>
              <w:bottom w:val="nil"/>
              <w:right w:val="nil"/>
            </w:tcBorders>
          </w:tcPr>
          <w:p w:rsidR="000D1EB3" w:rsidRDefault="00030578" w:rsidP="00030578">
            <w:pPr>
              <w:jc w:val="right"/>
              <w:rPr>
                <w:sz w:val="18"/>
                <w:szCs w:val="18"/>
              </w:rPr>
            </w:pPr>
            <w:r>
              <w:rPr>
                <w:sz w:val="18"/>
                <w:szCs w:val="18"/>
              </w:rPr>
              <w:t>(2,295)</w:t>
            </w:r>
          </w:p>
        </w:tc>
        <w:tc>
          <w:tcPr>
            <w:tcW w:w="1368" w:type="dxa"/>
            <w:tcBorders>
              <w:top w:val="nil"/>
              <w:left w:val="nil"/>
              <w:bottom w:val="nil"/>
              <w:right w:val="nil"/>
            </w:tcBorders>
          </w:tcPr>
          <w:p w:rsidR="000D1EB3" w:rsidRDefault="00030578" w:rsidP="00030578">
            <w:pPr>
              <w:jc w:val="right"/>
              <w:rPr>
                <w:sz w:val="18"/>
                <w:szCs w:val="18"/>
              </w:rPr>
            </w:pPr>
            <w:r>
              <w:rPr>
                <w:sz w:val="18"/>
                <w:szCs w:val="18"/>
              </w:rPr>
              <w:t>4,1</w:t>
            </w:r>
          </w:p>
        </w:tc>
        <w:tc>
          <w:tcPr>
            <w:tcW w:w="1368" w:type="dxa"/>
            <w:tcBorders>
              <w:top w:val="nil"/>
              <w:left w:val="nil"/>
              <w:bottom w:val="nil"/>
              <w:right w:val="nil"/>
            </w:tcBorders>
          </w:tcPr>
          <w:p w:rsidR="000D1EB3" w:rsidRDefault="00030578" w:rsidP="00030578">
            <w:pPr>
              <w:jc w:val="right"/>
              <w:rPr>
                <w:sz w:val="18"/>
                <w:szCs w:val="18"/>
              </w:rPr>
            </w:pPr>
            <w:r>
              <w:rPr>
                <w:sz w:val="18"/>
                <w:szCs w:val="18"/>
              </w:rPr>
              <w:t>8,061</w:t>
            </w:r>
          </w:p>
        </w:tc>
        <w:tc>
          <w:tcPr>
            <w:tcW w:w="1368" w:type="dxa"/>
            <w:tcBorders>
              <w:top w:val="nil"/>
              <w:left w:val="nil"/>
              <w:bottom w:val="nil"/>
              <w:right w:val="nil"/>
            </w:tcBorders>
          </w:tcPr>
          <w:p w:rsidR="000D1EB3" w:rsidRDefault="00030578" w:rsidP="00030578">
            <w:pPr>
              <w:jc w:val="right"/>
              <w:rPr>
                <w:sz w:val="18"/>
                <w:szCs w:val="18"/>
              </w:rPr>
            </w:pPr>
            <w:r>
              <w:rPr>
                <w:sz w:val="18"/>
                <w:szCs w:val="18"/>
              </w:rPr>
              <w:t>2,8</w:t>
            </w:r>
          </w:p>
        </w:tc>
      </w:tr>
    </w:tbl>
    <w:p w:rsidR="008A0433" w:rsidRDefault="008A0433" w:rsidP="001A135D">
      <w:pPr>
        <w:spacing w:line="240" w:lineRule="auto"/>
        <w:rPr>
          <w:sz w:val="18"/>
          <w:szCs w:val="18"/>
        </w:rPr>
      </w:pPr>
      <w:r>
        <w:rPr>
          <w:sz w:val="18"/>
          <w:szCs w:val="18"/>
        </w:rPr>
        <w:tab/>
      </w:r>
    </w:p>
    <w:p w:rsidR="00EB545C" w:rsidRDefault="00EB545C" w:rsidP="001A135D">
      <w:pPr>
        <w:spacing w:line="240" w:lineRule="auto"/>
        <w:rPr>
          <w:sz w:val="18"/>
          <w:szCs w:val="18"/>
        </w:rPr>
      </w:pPr>
    </w:p>
    <w:p w:rsidR="00EB545C" w:rsidRDefault="00EB545C" w:rsidP="001A135D">
      <w:pPr>
        <w:spacing w:line="240" w:lineRule="auto"/>
        <w:rPr>
          <w:sz w:val="18"/>
          <w:szCs w:val="18"/>
        </w:rPr>
      </w:pPr>
    </w:p>
    <w:p w:rsidR="00EB545C" w:rsidRDefault="00EB545C" w:rsidP="001A135D">
      <w:pPr>
        <w:spacing w:line="240" w:lineRule="auto"/>
        <w:rPr>
          <w:sz w:val="18"/>
          <w:szCs w:val="18"/>
        </w:rPr>
      </w:pPr>
    </w:p>
    <w:p w:rsidR="00EB545C" w:rsidRDefault="00EB545C" w:rsidP="001A135D">
      <w:pPr>
        <w:spacing w:line="240" w:lineRule="auto"/>
        <w:rPr>
          <w:sz w:val="18"/>
          <w:szCs w:val="18"/>
        </w:rPr>
      </w:pPr>
    </w:p>
    <w:p w:rsidR="00EB545C" w:rsidRDefault="00EB545C" w:rsidP="00EB545C">
      <w:pPr>
        <w:pStyle w:val="ListParagraph"/>
        <w:numPr>
          <w:ilvl w:val="0"/>
          <w:numId w:val="9"/>
        </w:numPr>
        <w:spacing w:line="240" w:lineRule="auto"/>
        <w:rPr>
          <w:b/>
        </w:rPr>
      </w:pPr>
      <w:r>
        <w:rPr>
          <w:b/>
        </w:rPr>
        <w:t>Key financial indicators</w:t>
      </w:r>
    </w:p>
    <w:p w:rsidR="00EB545C" w:rsidRDefault="00EB545C" w:rsidP="00EB545C">
      <w:pPr>
        <w:pStyle w:val="ListParagraph"/>
        <w:spacing w:line="240" w:lineRule="auto"/>
        <w:ind w:left="2160"/>
        <w:rPr>
          <w:b/>
        </w:rPr>
      </w:pPr>
    </w:p>
    <w:p w:rsidR="00EB545C" w:rsidRDefault="00EB545C" w:rsidP="00EB545C">
      <w:pPr>
        <w:pStyle w:val="ListParagraph"/>
        <w:spacing w:line="240" w:lineRule="auto"/>
        <w:ind w:left="2160"/>
        <w:rPr>
          <w:b/>
        </w:rPr>
      </w:pPr>
    </w:p>
    <w:p w:rsidR="00EB545C" w:rsidRDefault="00DB5350" w:rsidP="00453D15">
      <w:pPr>
        <w:pStyle w:val="ListParagraph"/>
        <w:spacing w:line="240" w:lineRule="auto"/>
        <w:ind w:left="5040"/>
        <w:rPr>
          <w:b/>
          <w:u w:val="single"/>
        </w:rPr>
      </w:pPr>
      <w:r>
        <w:rPr>
          <w:b/>
          <w:u w:val="single"/>
        </w:rPr>
        <w:t xml:space="preserve"> </w:t>
      </w:r>
      <w:r w:rsidR="00453D15">
        <w:rPr>
          <w:b/>
          <w:u w:val="single"/>
        </w:rPr>
        <w:t xml:space="preserve">         2014</w:t>
      </w:r>
      <w:r w:rsidR="00453D15">
        <w:rPr>
          <w:b/>
          <w:u w:val="single"/>
        </w:rPr>
        <w:tab/>
      </w:r>
      <w:r w:rsidR="00453D15">
        <w:rPr>
          <w:b/>
          <w:u w:val="single"/>
        </w:rPr>
        <w:tab/>
        <w:t>2013</w:t>
      </w:r>
      <w:r w:rsidR="00453D15">
        <w:rPr>
          <w:b/>
          <w:u w:val="single"/>
        </w:rPr>
        <w:tab/>
      </w:r>
      <w:r w:rsidR="00453D15">
        <w:rPr>
          <w:b/>
          <w:u w:val="single"/>
        </w:rPr>
        <w:tab/>
      </w:r>
      <w:r w:rsidR="00453D15" w:rsidRPr="00453D15">
        <w:rPr>
          <w:b/>
          <w:u w:val="single"/>
        </w:rPr>
        <w:t>2012</w:t>
      </w:r>
      <w:r>
        <w:rPr>
          <w:b/>
          <w:u w:val="single"/>
        </w:rPr>
        <w:tab/>
      </w:r>
    </w:p>
    <w:p w:rsidR="00891D9C" w:rsidRDefault="00891D9C" w:rsidP="00DB5350">
      <w:pPr>
        <w:spacing w:line="240" w:lineRule="auto"/>
        <w:rPr>
          <w:b/>
          <w:u w:val="single"/>
        </w:rPr>
      </w:pPr>
    </w:p>
    <w:tbl>
      <w:tblPr>
        <w:tblStyle w:val="TableGrid"/>
        <w:tblW w:w="9576" w:type="dxa"/>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4"/>
        <w:gridCol w:w="2394"/>
        <w:gridCol w:w="2394"/>
        <w:gridCol w:w="2394"/>
      </w:tblGrid>
      <w:tr w:rsidR="00DB5350" w:rsidTr="00E461C0">
        <w:tc>
          <w:tcPr>
            <w:tcW w:w="2394" w:type="dxa"/>
          </w:tcPr>
          <w:p w:rsidR="00DB5350" w:rsidRDefault="00DB5350" w:rsidP="00DB5350">
            <w:r>
              <w:t>Return on Sales indicators</w:t>
            </w:r>
          </w:p>
        </w:tc>
        <w:tc>
          <w:tcPr>
            <w:tcW w:w="2394" w:type="dxa"/>
          </w:tcPr>
          <w:p w:rsidR="00DB5350" w:rsidRDefault="00DB5350" w:rsidP="00DB5350"/>
        </w:tc>
        <w:tc>
          <w:tcPr>
            <w:tcW w:w="2394" w:type="dxa"/>
          </w:tcPr>
          <w:p w:rsidR="00DB5350" w:rsidRDefault="00DB5350" w:rsidP="00DB5350"/>
        </w:tc>
        <w:tc>
          <w:tcPr>
            <w:tcW w:w="2394" w:type="dxa"/>
          </w:tcPr>
          <w:p w:rsidR="00DB5350" w:rsidRDefault="00DB5350" w:rsidP="00DB5350"/>
        </w:tc>
      </w:tr>
      <w:tr w:rsidR="00DB5350" w:rsidTr="00E461C0">
        <w:tc>
          <w:tcPr>
            <w:tcW w:w="2394" w:type="dxa"/>
          </w:tcPr>
          <w:p w:rsidR="00DB5350" w:rsidRDefault="00DB5350" w:rsidP="00DB5350"/>
        </w:tc>
        <w:tc>
          <w:tcPr>
            <w:tcW w:w="2394" w:type="dxa"/>
            <w:vAlign w:val="bottom"/>
          </w:tcPr>
          <w:p w:rsidR="00DB5350" w:rsidRDefault="00DB5350" w:rsidP="00E461C0">
            <w:pPr>
              <w:jc w:val="right"/>
            </w:pPr>
          </w:p>
        </w:tc>
        <w:tc>
          <w:tcPr>
            <w:tcW w:w="2394" w:type="dxa"/>
            <w:vAlign w:val="bottom"/>
          </w:tcPr>
          <w:p w:rsidR="00DB5350" w:rsidRDefault="00DB5350" w:rsidP="00E461C0">
            <w:pPr>
              <w:jc w:val="right"/>
            </w:pPr>
          </w:p>
        </w:tc>
        <w:tc>
          <w:tcPr>
            <w:tcW w:w="2394" w:type="dxa"/>
            <w:vAlign w:val="bottom"/>
          </w:tcPr>
          <w:p w:rsidR="00DB5350" w:rsidRDefault="00DB5350" w:rsidP="00E461C0">
            <w:pPr>
              <w:jc w:val="right"/>
            </w:pPr>
          </w:p>
        </w:tc>
      </w:tr>
      <w:tr w:rsidR="00DB5350" w:rsidTr="00E461C0">
        <w:tc>
          <w:tcPr>
            <w:tcW w:w="2394" w:type="dxa"/>
          </w:tcPr>
          <w:p w:rsidR="00DB5350" w:rsidRDefault="00DB5350" w:rsidP="00DB5350">
            <w:r>
              <w:t>Gross return on sales</w:t>
            </w:r>
          </w:p>
        </w:tc>
        <w:tc>
          <w:tcPr>
            <w:tcW w:w="2394" w:type="dxa"/>
            <w:vAlign w:val="bottom"/>
          </w:tcPr>
          <w:p w:rsidR="00DB5350" w:rsidRDefault="00E461C0" w:rsidP="00E461C0">
            <w:pPr>
              <w:jc w:val="right"/>
            </w:pPr>
            <w:r>
              <w:t>18,1%</w:t>
            </w:r>
          </w:p>
        </w:tc>
        <w:tc>
          <w:tcPr>
            <w:tcW w:w="2394" w:type="dxa"/>
            <w:vAlign w:val="bottom"/>
          </w:tcPr>
          <w:p w:rsidR="00DB5350" w:rsidRDefault="00E461C0" w:rsidP="00E461C0">
            <w:pPr>
              <w:jc w:val="right"/>
            </w:pPr>
            <w:r>
              <w:t>19,3%</w:t>
            </w:r>
          </w:p>
        </w:tc>
        <w:tc>
          <w:tcPr>
            <w:tcW w:w="2394" w:type="dxa"/>
            <w:vAlign w:val="bottom"/>
          </w:tcPr>
          <w:p w:rsidR="00DB5350" w:rsidRDefault="00E461C0" w:rsidP="00E461C0">
            <w:pPr>
              <w:jc w:val="right"/>
            </w:pPr>
            <w:r>
              <w:t>25,1%</w:t>
            </w:r>
          </w:p>
        </w:tc>
      </w:tr>
      <w:tr w:rsidR="00DB5350" w:rsidTr="00E461C0">
        <w:tc>
          <w:tcPr>
            <w:tcW w:w="2394" w:type="dxa"/>
          </w:tcPr>
          <w:p w:rsidR="00DB5350" w:rsidRDefault="00DB5350" w:rsidP="00DB5350">
            <w:r>
              <w:t>Net return on sales</w:t>
            </w:r>
          </w:p>
        </w:tc>
        <w:tc>
          <w:tcPr>
            <w:tcW w:w="2394" w:type="dxa"/>
            <w:vAlign w:val="bottom"/>
          </w:tcPr>
          <w:p w:rsidR="00DB5350" w:rsidRDefault="00E461C0" w:rsidP="00E461C0">
            <w:pPr>
              <w:jc w:val="right"/>
            </w:pPr>
            <w:r>
              <w:t>(1,6)%</w:t>
            </w:r>
          </w:p>
        </w:tc>
        <w:tc>
          <w:tcPr>
            <w:tcW w:w="2394" w:type="dxa"/>
            <w:vAlign w:val="bottom"/>
          </w:tcPr>
          <w:p w:rsidR="00DB5350" w:rsidRDefault="00E461C0" w:rsidP="00E461C0">
            <w:pPr>
              <w:jc w:val="right"/>
            </w:pPr>
            <w:r>
              <w:t>4,1%</w:t>
            </w:r>
          </w:p>
        </w:tc>
        <w:tc>
          <w:tcPr>
            <w:tcW w:w="2394" w:type="dxa"/>
            <w:vAlign w:val="bottom"/>
          </w:tcPr>
          <w:p w:rsidR="00DB5350" w:rsidRDefault="00E461C0" w:rsidP="00E461C0">
            <w:pPr>
              <w:jc w:val="right"/>
            </w:pPr>
            <w:r>
              <w:t>2,8%</w:t>
            </w:r>
          </w:p>
        </w:tc>
      </w:tr>
      <w:tr w:rsidR="00DB5350" w:rsidTr="00E461C0">
        <w:tc>
          <w:tcPr>
            <w:tcW w:w="2394" w:type="dxa"/>
          </w:tcPr>
          <w:p w:rsidR="00DB5350" w:rsidRDefault="00DB5350" w:rsidP="00DB5350">
            <w:r>
              <w:t>Return on assets</w:t>
            </w:r>
          </w:p>
        </w:tc>
        <w:tc>
          <w:tcPr>
            <w:tcW w:w="2394" w:type="dxa"/>
            <w:vAlign w:val="bottom"/>
          </w:tcPr>
          <w:p w:rsidR="00DB5350" w:rsidRDefault="00E461C0" w:rsidP="00E461C0">
            <w:pPr>
              <w:jc w:val="right"/>
            </w:pPr>
            <w:r>
              <w:t>(0,3)%</w:t>
            </w:r>
          </w:p>
        </w:tc>
        <w:tc>
          <w:tcPr>
            <w:tcW w:w="2394" w:type="dxa"/>
            <w:vAlign w:val="bottom"/>
          </w:tcPr>
          <w:p w:rsidR="00DB5350" w:rsidRDefault="00E461C0" w:rsidP="00E461C0">
            <w:pPr>
              <w:jc w:val="right"/>
            </w:pPr>
            <w:r>
              <w:t>0,9%</w:t>
            </w:r>
          </w:p>
        </w:tc>
        <w:tc>
          <w:tcPr>
            <w:tcW w:w="2394" w:type="dxa"/>
            <w:vAlign w:val="bottom"/>
          </w:tcPr>
          <w:p w:rsidR="00DB5350" w:rsidRDefault="00E461C0" w:rsidP="00E461C0">
            <w:pPr>
              <w:jc w:val="right"/>
            </w:pPr>
            <w:r>
              <w:t>0,6%</w:t>
            </w:r>
          </w:p>
        </w:tc>
      </w:tr>
      <w:tr w:rsidR="00DB5350" w:rsidTr="00E461C0">
        <w:tc>
          <w:tcPr>
            <w:tcW w:w="2394" w:type="dxa"/>
          </w:tcPr>
          <w:p w:rsidR="00DB5350" w:rsidRDefault="00DB5350" w:rsidP="00DB5350">
            <w:r>
              <w:t>Return on equity</w:t>
            </w:r>
          </w:p>
        </w:tc>
        <w:tc>
          <w:tcPr>
            <w:tcW w:w="2394" w:type="dxa"/>
            <w:vAlign w:val="bottom"/>
          </w:tcPr>
          <w:p w:rsidR="00DB5350" w:rsidRDefault="00E461C0" w:rsidP="00E461C0">
            <w:pPr>
              <w:jc w:val="right"/>
            </w:pPr>
            <w:r>
              <w:t>(0,5)%</w:t>
            </w:r>
          </w:p>
        </w:tc>
        <w:tc>
          <w:tcPr>
            <w:tcW w:w="2394" w:type="dxa"/>
            <w:vAlign w:val="bottom"/>
          </w:tcPr>
          <w:p w:rsidR="00DB5350" w:rsidRDefault="00E461C0" w:rsidP="00E461C0">
            <w:pPr>
              <w:jc w:val="right"/>
            </w:pPr>
            <w:r>
              <w:t>2,2%</w:t>
            </w:r>
          </w:p>
        </w:tc>
        <w:tc>
          <w:tcPr>
            <w:tcW w:w="2394" w:type="dxa"/>
            <w:vAlign w:val="bottom"/>
          </w:tcPr>
          <w:p w:rsidR="00DB5350" w:rsidRDefault="00E461C0" w:rsidP="00E461C0">
            <w:pPr>
              <w:jc w:val="right"/>
            </w:pPr>
            <w:r>
              <w:t>1,5%</w:t>
            </w:r>
          </w:p>
        </w:tc>
      </w:tr>
      <w:tr w:rsidR="00DB5350" w:rsidTr="00E461C0">
        <w:tc>
          <w:tcPr>
            <w:tcW w:w="2394" w:type="dxa"/>
          </w:tcPr>
          <w:p w:rsidR="00DB5350" w:rsidRDefault="00DB5350" w:rsidP="00DB5350"/>
        </w:tc>
        <w:tc>
          <w:tcPr>
            <w:tcW w:w="2394" w:type="dxa"/>
            <w:vAlign w:val="bottom"/>
          </w:tcPr>
          <w:p w:rsidR="00DB5350" w:rsidRDefault="00DB5350" w:rsidP="00E461C0">
            <w:pPr>
              <w:jc w:val="right"/>
            </w:pPr>
          </w:p>
        </w:tc>
        <w:tc>
          <w:tcPr>
            <w:tcW w:w="2394" w:type="dxa"/>
            <w:vAlign w:val="bottom"/>
          </w:tcPr>
          <w:p w:rsidR="00DB5350" w:rsidRDefault="00DB5350" w:rsidP="00E461C0">
            <w:pPr>
              <w:jc w:val="right"/>
            </w:pPr>
          </w:p>
        </w:tc>
        <w:tc>
          <w:tcPr>
            <w:tcW w:w="2394" w:type="dxa"/>
            <w:vAlign w:val="bottom"/>
          </w:tcPr>
          <w:p w:rsidR="00DB5350" w:rsidRDefault="00DB5350" w:rsidP="00E461C0">
            <w:pPr>
              <w:jc w:val="right"/>
            </w:pPr>
          </w:p>
        </w:tc>
      </w:tr>
      <w:tr w:rsidR="00DB5350" w:rsidTr="00E461C0">
        <w:tc>
          <w:tcPr>
            <w:tcW w:w="2394" w:type="dxa"/>
          </w:tcPr>
          <w:p w:rsidR="00DB5350" w:rsidRDefault="00DB5350" w:rsidP="00DB5350">
            <w:r>
              <w:t>Liquidity indicators</w:t>
            </w:r>
          </w:p>
        </w:tc>
        <w:tc>
          <w:tcPr>
            <w:tcW w:w="2394" w:type="dxa"/>
            <w:vAlign w:val="bottom"/>
          </w:tcPr>
          <w:p w:rsidR="00DB5350" w:rsidRDefault="00DB5350" w:rsidP="00E461C0">
            <w:pPr>
              <w:jc w:val="right"/>
            </w:pPr>
          </w:p>
        </w:tc>
        <w:tc>
          <w:tcPr>
            <w:tcW w:w="2394" w:type="dxa"/>
            <w:vAlign w:val="bottom"/>
          </w:tcPr>
          <w:p w:rsidR="00DB5350" w:rsidRDefault="00DB5350" w:rsidP="00E461C0">
            <w:pPr>
              <w:jc w:val="right"/>
            </w:pPr>
          </w:p>
        </w:tc>
        <w:tc>
          <w:tcPr>
            <w:tcW w:w="2394" w:type="dxa"/>
            <w:vAlign w:val="bottom"/>
          </w:tcPr>
          <w:p w:rsidR="00DB5350" w:rsidRDefault="00DB5350" w:rsidP="00E461C0">
            <w:pPr>
              <w:jc w:val="right"/>
            </w:pPr>
          </w:p>
        </w:tc>
      </w:tr>
      <w:tr w:rsidR="00DB5350" w:rsidTr="00E461C0">
        <w:tc>
          <w:tcPr>
            <w:tcW w:w="2394" w:type="dxa"/>
          </w:tcPr>
          <w:p w:rsidR="00DB5350" w:rsidRDefault="00DB5350" w:rsidP="00DB5350"/>
        </w:tc>
        <w:tc>
          <w:tcPr>
            <w:tcW w:w="2394" w:type="dxa"/>
            <w:vAlign w:val="bottom"/>
          </w:tcPr>
          <w:p w:rsidR="00DB5350" w:rsidRDefault="00DB5350" w:rsidP="00E461C0">
            <w:pPr>
              <w:jc w:val="right"/>
            </w:pPr>
          </w:p>
        </w:tc>
        <w:tc>
          <w:tcPr>
            <w:tcW w:w="2394" w:type="dxa"/>
            <w:vAlign w:val="bottom"/>
          </w:tcPr>
          <w:p w:rsidR="00DB5350" w:rsidRDefault="00DB5350" w:rsidP="00E461C0">
            <w:pPr>
              <w:jc w:val="right"/>
            </w:pPr>
          </w:p>
        </w:tc>
        <w:tc>
          <w:tcPr>
            <w:tcW w:w="2394" w:type="dxa"/>
            <w:vAlign w:val="bottom"/>
          </w:tcPr>
          <w:p w:rsidR="00DB5350" w:rsidRDefault="00DB5350" w:rsidP="00E461C0">
            <w:pPr>
              <w:jc w:val="right"/>
            </w:pPr>
          </w:p>
        </w:tc>
      </w:tr>
      <w:tr w:rsidR="00DB5350" w:rsidTr="00E461C0">
        <w:tc>
          <w:tcPr>
            <w:tcW w:w="2394" w:type="dxa"/>
          </w:tcPr>
          <w:p w:rsidR="00DB5350" w:rsidRDefault="00DB5350" w:rsidP="00DB5350">
            <w:r>
              <w:t>Liquidity indicator I</w:t>
            </w:r>
          </w:p>
        </w:tc>
        <w:tc>
          <w:tcPr>
            <w:tcW w:w="2394" w:type="dxa"/>
            <w:vAlign w:val="bottom"/>
          </w:tcPr>
          <w:p w:rsidR="00DB5350" w:rsidRDefault="00E461C0" w:rsidP="00E461C0">
            <w:pPr>
              <w:jc w:val="right"/>
            </w:pPr>
            <w:r>
              <w:t>2,3</w:t>
            </w:r>
          </w:p>
        </w:tc>
        <w:tc>
          <w:tcPr>
            <w:tcW w:w="2394" w:type="dxa"/>
            <w:vAlign w:val="bottom"/>
          </w:tcPr>
          <w:p w:rsidR="00DB5350" w:rsidRDefault="00E461C0" w:rsidP="00E461C0">
            <w:pPr>
              <w:jc w:val="right"/>
            </w:pPr>
            <w:r>
              <w:t>1,9</w:t>
            </w:r>
          </w:p>
        </w:tc>
        <w:tc>
          <w:tcPr>
            <w:tcW w:w="2394" w:type="dxa"/>
            <w:vAlign w:val="bottom"/>
          </w:tcPr>
          <w:p w:rsidR="00DB5350" w:rsidRDefault="00E461C0" w:rsidP="00E461C0">
            <w:pPr>
              <w:jc w:val="right"/>
            </w:pPr>
            <w:r>
              <w:t>2,2</w:t>
            </w:r>
          </w:p>
        </w:tc>
      </w:tr>
      <w:tr w:rsidR="00DB5350" w:rsidTr="00E461C0">
        <w:tc>
          <w:tcPr>
            <w:tcW w:w="2394" w:type="dxa"/>
          </w:tcPr>
          <w:p w:rsidR="00DB5350" w:rsidRDefault="00DB5350" w:rsidP="00DB5350">
            <w:r>
              <w:t>Liquidity indicator II</w:t>
            </w:r>
          </w:p>
        </w:tc>
        <w:tc>
          <w:tcPr>
            <w:tcW w:w="2394" w:type="dxa"/>
            <w:vAlign w:val="bottom"/>
          </w:tcPr>
          <w:p w:rsidR="00DB5350" w:rsidRDefault="00E461C0" w:rsidP="00E461C0">
            <w:pPr>
              <w:jc w:val="right"/>
            </w:pPr>
            <w:r>
              <w:t>0,7</w:t>
            </w:r>
          </w:p>
        </w:tc>
        <w:tc>
          <w:tcPr>
            <w:tcW w:w="2394" w:type="dxa"/>
            <w:vAlign w:val="bottom"/>
          </w:tcPr>
          <w:p w:rsidR="00DB5350" w:rsidRDefault="00E461C0" w:rsidP="00E461C0">
            <w:pPr>
              <w:jc w:val="right"/>
            </w:pPr>
            <w:r>
              <w:t>0,5</w:t>
            </w:r>
          </w:p>
        </w:tc>
        <w:tc>
          <w:tcPr>
            <w:tcW w:w="2394" w:type="dxa"/>
            <w:vAlign w:val="bottom"/>
          </w:tcPr>
          <w:p w:rsidR="00DB5350" w:rsidRDefault="00E461C0" w:rsidP="00E461C0">
            <w:pPr>
              <w:jc w:val="right"/>
            </w:pPr>
            <w:r>
              <w:t>0,3</w:t>
            </w:r>
          </w:p>
        </w:tc>
      </w:tr>
      <w:tr w:rsidR="00DB5350" w:rsidTr="00E461C0">
        <w:tc>
          <w:tcPr>
            <w:tcW w:w="2394" w:type="dxa"/>
          </w:tcPr>
          <w:p w:rsidR="00DB5350" w:rsidRDefault="00DB5350" w:rsidP="00DB5350"/>
        </w:tc>
        <w:tc>
          <w:tcPr>
            <w:tcW w:w="2394" w:type="dxa"/>
            <w:vAlign w:val="bottom"/>
          </w:tcPr>
          <w:p w:rsidR="00DB5350" w:rsidRDefault="00DB5350" w:rsidP="00E461C0">
            <w:pPr>
              <w:jc w:val="right"/>
            </w:pPr>
          </w:p>
        </w:tc>
        <w:tc>
          <w:tcPr>
            <w:tcW w:w="2394" w:type="dxa"/>
            <w:vAlign w:val="bottom"/>
          </w:tcPr>
          <w:p w:rsidR="00DB5350" w:rsidRDefault="00DB5350" w:rsidP="00E461C0">
            <w:pPr>
              <w:jc w:val="right"/>
            </w:pPr>
          </w:p>
        </w:tc>
        <w:tc>
          <w:tcPr>
            <w:tcW w:w="2394" w:type="dxa"/>
            <w:vAlign w:val="bottom"/>
          </w:tcPr>
          <w:p w:rsidR="00DB5350" w:rsidRDefault="00DB5350" w:rsidP="00E461C0">
            <w:pPr>
              <w:jc w:val="right"/>
            </w:pPr>
          </w:p>
        </w:tc>
      </w:tr>
      <w:tr w:rsidR="00DB5350" w:rsidTr="00E461C0">
        <w:tc>
          <w:tcPr>
            <w:tcW w:w="2394" w:type="dxa"/>
          </w:tcPr>
          <w:p w:rsidR="00DB5350" w:rsidRPr="00DF68A2" w:rsidRDefault="00E461C0" w:rsidP="00DB5350">
            <w:pPr>
              <w:rPr>
                <w:b/>
              </w:rPr>
            </w:pPr>
            <w:r>
              <w:rPr>
                <w:b/>
              </w:rPr>
              <w:t>Business a</w:t>
            </w:r>
            <w:r w:rsidR="00DF68A2">
              <w:rPr>
                <w:b/>
              </w:rPr>
              <w:t>ctiveness indicators</w:t>
            </w:r>
          </w:p>
        </w:tc>
        <w:tc>
          <w:tcPr>
            <w:tcW w:w="2394" w:type="dxa"/>
            <w:vAlign w:val="bottom"/>
          </w:tcPr>
          <w:p w:rsidR="00DB5350" w:rsidRDefault="00DB5350" w:rsidP="00E461C0">
            <w:pPr>
              <w:jc w:val="right"/>
            </w:pPr>
          </w:p>
        </w:tc>
        <w:tc>
          <w:tcPr>
            <w:tcW w:w="2394" w:type="dxa"/>
            <w:vAlign w:val="bottom"/>
          </w:tcPr>
          <w:p w:rsidR="00DB5350" w:rsidRDefault="00DB5350" w:rsidP="00E461C0">
            <w:pPr>
              <w:jc w:val="right"/>
            </w:pPr>
          </w:p>
        </w:tc>
        <w:tc>
          <w:tcPr>
            <w:tcW w:w="2394" w:type="dxa"/>
            <w:vAlign w:val="bottom"/>
          </w:tcPr>
          <w:p w:rsidR="00DB5350" w:rsidRDefault="00DB5350" w:rsidP="00E461C0">
            <w:pPr>
              <w:jc w:val="right"/>
            </w:pPr>
          </w:p>
        </w:tc>
      </w:tr>
      <w:tr w:rsidR="00DB5350" w:rsidTr="00E461C0">
        <w:tc>
          <w:tcPr>
            <w:tcW w:w="2394" w:type="dxa"/>
          </w:tcPr>
          <w:p w:rsidR="00DB5350" w:rsidRDefault="00DB5350" w:rsidP="00DB5350"/>
        </w:tc>
        <w:tc>
          <w:tcPr>
            <w:tcW w:w="2394" w:type="dxa"/>
            <w:vAlign w:val="bottom"/>
          </w:tcPr>
          <w:p w:rsidR="00DB5350" w:rsidRDefault="00DB5350" w:rsidP="00E461C0">
            <w:pPr>
              <w:jc w:val="right"/>
            </w:pPr>
          </w:p>
        </w:tc>
        <w:tc>
          <w:tcPr>
            <w:tcW w:w="2394" w:type="dxa"/>
            <w:vAlign w:val="bottom"/>
          </w:tcPr>
          <w:p w:rsidR="00DB5350" w:rsidRDefault="00DB5350" w:rsidP="00E461C0">
            <w:pPr>
              <w:jc w:val="right"/>
            </w:pPr>
          </w:p>
        </w:tc>
        <w:tc>
          <w:tcPr>
            <w:tcW w:w="2394" w:type="dxa"/>
            <w:vAlign w:val="bottom"/>
          </w:tcPr>
          <w:p w:rsidR="00DB5350" w:rsidRDefault="00DB5350" w:rsidP="00E461C0">
            <w:pPr>
              <w:jc w:val="right"/>
            </w:pPr>
          </w:p>
        </w:tc>
      </w:tr>
      <w:tr w:rsidR="00DB5350" w:rsidTr="00E461C0">
        <w:tc>
          <w:tcPr>
            <w:tcW w:w="2394" w:type="dxa"/>
          </w:tcPr>
          <w:p w:rsidR="00DB5350" w:rsidRDefault="00DB5350" w:rsidP="00DB5350">
            <w:r>
              <w:t>Rate of payment of liabilities in days</w:t>
            </w:r>
          </w:p>
        </w:tc>
        <w:tc>
          <w:tcPr>
            <w:tcW w:w="2394" w:type="dxa"/>
            <w:vAlign w:val="bottom"/>
          </w:tcPr>
          <w:p w:rsidR="00DB5350" w:rsidRDefault="00E461C0" w:rsidP="00E461C0">
            <w:pPr>
              <w:jc w:val="right"/>
            </w:pPr>
            <w:r>
              <w:t>63</w:t>
            </w:r>
          </w:p>
        </w:tc>
        <w:tc>
          <w:tcPr>
            <w:tcW w:w="2394" w:type="dxa"/>
            <w:vAlign w:val="bottom"/>
          </w:tcPr>
          <w:p w:rsidR="00DB5350" w:rsidRDefault="00E461C0" w:rsidP="00E461C0">
            <w:pPr>
              <w:jc w:val="right"/>
            </w:pPr>
            <w:r>
              <w:t>42</w:t>
            </w:r>
          </w:p>
        </w:tc>
        <w:tc>
          <w:tcPr>
            <w:tcW w:w="2394" w:type="dxa"/>
            <w:vAlign w:val="bottom"/>
          </w:tcPr>
          <w:p w:rsidR="00DB5350" w:rsidRDefault="00E461C0" w:rsidP="00E461C0">
            <w:pPr>
              <w:jc w:val="right"/>
            </w:pPr>
            <w:r>
              <w:t>64</w:t>
            </w:r>
          </w:p>
        </w:tc>
      </w:tr>
      <w:tr w:rsidR="00DB5350" w:rsidTr="00E461C0">
        <w:tc>
          <w:tcPr>
            <w:tcW w:w="2394" w:type="dxa"/>
          </w:tcPr>
          <w:p w:rsidR="00DB5350" w:rsidRDefault="00DF68A2" w:rsidP="00DB5350">
            <w:r>
              <w:t>Inventory turnover and</w:t>
            </w:r>
            <w:r w:rsidR="00B22F1E">
              <w:t xml:space="preserve"> construction liquidation in days</w:t>
            </w:r>
            <w:r>
              <w:t xml:space="preserve"> </w:t>
            </w:r>
          </w:p>
        </w:tc>
        <w:tc>
          <w:tcPr>
            <w:tcW w:w="2394" w:type="dxa"/>
            <w:vAlign w:val="bottom"/>
          </w:tcPr>
          <w:p w:rsidR="00DB5350" w:rsidRDefault="00E461C0" w:rsidP="00E461C0">
            <w:pPr>
              <w:jc w:val="right"/>
            </w:pPr>
            <w:r>
              <w:t>645</w:t>
            </w:r>
          </w:p>
        </w:tc>
        <w:tc>
          <w:tcPr>
            <w:tcW w:w="2394" w:type="dxa"/>
            <w:vAlign w:val="bottom"/>
          </w:tcPr>
          <w:p w:rsidR="00DB5350" w:rsidRDefault="00E461C0" w:rsidP="00E461C0">
            <w:pPr>
              <w:jc w:val="right"/>
            </w:pPr>
            <w:r>
              <w:t>689</w:t>
            </w:r>
          </w:p>
        </w:tc>
        <w:tc>
          <w:tcPr>
            <w:tcW w:w="2394" w:type="dxa"/>
            <w:vAlign w:val="bottom"/>
          </w:tcPr>
          <w:p w:rsidR="00DB5350" w:rsidRDefault="00E461C0" w:rsidP="00E461C0">
            <w:pPr>
              <w:jc w:val="right"/>
            </w:pPr>
            <w:r>
              <w:t>917</w:t>
            </w:r>
          </w:p>
        </w:tc>
      </w:tr>
      <w:tr w:rsidR="00DB5350" w:rsidTr="00E461C0">
        <w:tc>
          <w:tcPr>
            <w:tcW w:w="2394" w:type="dxa"/>
          </w:tcPr>
          <w:p w:rsidR="00DB5350" w:rsidRDefault="00DB5350" w:rsidP="00DB5350"/>
        </w:tc>
        <w:tc>
          <w:tcPr>
            <w:tcW w:w="2394" w:type="dxa"/>
            <w:vAlign w:val="bottom"/>
          </w:tcPr>
          <w:p w:rsidR="00DB5350" w:rsidRDefault="00DB5350" w:rsidP="00E461C0">
            <w:pPr>
              <w:jc w:val="right"/>
            </w:pPr>
          </w:p>
        </w:tc>
        <w:tc>
          <w:tcPr>
            <w:tcW w:w="2394" w:type="dxa"/>
            <w:vAlign w:val="bottom"/>
          </w:tcPr>
          <w:p w:rsidR="00DB5350" w:rsidRDefault="00DB5350" w:rsidP="00E461C0">
            <w:pPr>
              <w:jc w:val="right"/>
            </w:pPr>
          </w:p>
        </w:tc>
        <w:tc>
          <w:tcPr>
            <w:tcW w:w="2394" w:type="dxa"/>
            <w:vAlign w:val="bottom"/>
          </w:tcPr>
          <w:p w:rsidR="00DB5350" w:rsidRDefault="00DB5350" w:rsidP="00E461C0">
            <w:pPr>
              <w:jc w:val="right"/>
            </w:pPr>
          </w:p>
        </w:tc>
      </w:tr>
      <w:tr w:rsidR="00DB5350" w:rsidTr="00E461C0">
        <w:tc>
          <w:tcPr>
            <w:tcW w:w="2394" w:type="dxa"/>
          </w:tcPr>
          <w:p w:rsidR="00DB5350" w:rsidRDefault="00B22F1E" w:rsidP="00DB5350">
            <w:r>
              <w:t>Debt ratios</w:t>
            </w:r>
          </w:p>
        </w:tc>
        <w:tc>
          <w:tcPr>
            <w:tcW w:w="2394" w:type="dxa"/>
            <w:vAlign w:val="bottom"/>
          </w:tcPr>
          <w:p w:rsidR="00DB5350" w:rsidRDefault="00DB5350" w:rsidP="00E461C0">
            <w:pPr>
              <w:jc w:val="right"/>
            </w:pPr>
          </w:p>
        </w:tc>
        <w:tc>
          <w:tcPr>
            <w:tcW w:w="2394" w:type="dxa"/>
            <w:vAlign w:val="bottom"/>
          </w:tcPr>
          <w:p w:rsidR="00DB5350" w:rsidRDefault="00DB5350" w:rsidP="00E461C0">
            <w:pPr>
              <w:jc w:val="right"/>
            </w:pPr>
          </w:p>
        </w:tc>
        <w:tc>
          <w:tcPr>
            <w:tcW w:w="2394" w:type="dxa"/>
            <w:vAlign w:val="bottom"/>
          </w:tcPr>
          <w:p w:rsidR="00DB5350" w:rsidRDefault="00DB5350" w:rsidP="00E461C0">
            <w:pPr>
              <w:jc w:val="right"/>
            </w:pPr>
          </w:p>
        </w:tc>
      </w:tr>
      <w:tr w:rsidR="00DB5350" w:rsidTr="00E461C0">
        <w:tc>
          <w:tcPr>
            <w:tcW w:w="2394" w:type="dxa"/>
          </w:tcPr>
          <w:p w:rsidR="00DB5350" w:rsidRDefault="00B22F1E" w:rsidP="00DB5350">
            <w:r>
              <w:t>Rate of payment of liabilities in days</w:t>
            </w:r>
          </w:p>
        </w:tc>
        <w:tc>
          <w:tcPr>
            <w:tcW w:w="2394" w:type="dxa"/>
            <w:vAlign w:val="bottom"/>
          </w:tcPr>
          <w:p w:rsidR="00DB5350" w:rsidRDefault="00E461C0" w:rsidP="00E461C0">
            <w:pPr>
              <w:jc w:val="right"/>
            </w:pPr>
            <w:r>
              <w:t>101</w:t>
            </w:r>
          </w:p>
        </w:tc>
        <w:tc>
          <w:tcPr>
            <w:tcW w:w="2394" w:type="dxa"/>
            <w:vAlign w:val="bottom"/>
          </w:tcPr>
          <w:p w:rsidR="00DB5350" w:rsidRDefault="00E461C0" w:rsidP="00E461C0">
            <w:pPr>
              <w:jc w:val="right"/>
            </w:pPr>
            <w:r>
              <w:t>118</w:t>
            </w:r>
          </w:p>
        </w:tc>
        <w:tc>
          <w:tcPr>
            <w:tcW w:w="2394" w:type="dxa"/>
            <w:vAlign w:val="bottom"/>
          </w:tcPr>
          <w:p w:rsidR="00DB5350" w:rsidRDefault="00E461C0" w:rsidP="00E461C0">
            <w:pPr>
              <w:jc w:val="right"/>
            </w:pPr>
            <w:r>
              <w:t>150</w:t>
            </w:r>
          </w:p>
        </w:tc>
      </w:tr>
      <w:tr w:rsidR="00B22F1E" w:rsidTr="00E461C0">
        <w:tc>
          <w:tcPr>
            <w:tcW w:w="2394" w:type="dxa"/>
          </w:tcPr>
          <w:p w:rsidR="00B22F1E" w:rsidRDefault="00B22F1E" w:rsidP="00DB5350">
            <w:r>
              <w:t>Debt indicator</w:t>
            </w:r>
          </w:p>
        </w:tc>
        <w:tc>
          <w:tcPr>
            <w:tcW w:w="2394" w:type="dxa"/>
            <w:vAlign w:val="bottom"/>
          </w:tcPr>
          <w:p w:rsidR="00B22F1E" w:rsidRDefault="00E461C0" w:rsidP="00E461C0">
            <w:pPr>
              <w:jc w:val="right"/>
            </w:pPr>
            <w:r>
              <w:t>46,7%</w:t>
            </w:r>
          </w:p>
        </w:tc>
        <w:tc>
          <w:tcPr>
            <w:tcW w:w="2394" w:type="dxa"/>
            <w:vAlign w:val="bottom"/>
          </w:tcPr>
          <w:p w:rsidR="00B22F1E" w:rsidRDefault="00E461C0" w:rsidP="00E461C0">
            <w:pPr>
              <w:jc w:val="right"/>
            </w:pPr>
            <w:r>
              <w:t>58,6%</w:t>
            </w:r>
          </w:p>
        </w:tc>
        <w:tc>
          <w:tcPr>
            <w:tcW w:w="2394" w:type="dxa"/>
            <w:vAlign w:val="bottom"/>
          </w:tcPr>
          <w:p w:rsidR="00B22F1E" w:rsidRDefault="00E461C0" w:rsidP="00E461C0">
            <w:pPr>
              <w:jc w:val="right"/>
            </w:pPr>
            <w:r>
              <w:t>64,1%</w:t>
            </w:r>
          </w:p>
        </w:tc>
      </w:tr>
      <w:tr w:rsidR="00B22F1E" w:rsidTr="00E461C0">
        <w:tc>
          <w:tcPr>
            <w:tcW w:w="2394" w:type="dxa"/>
          </w:tcPr>
          <w:p w:rsidR="00B22F1E" w:rsidRDefault="00B22F1E" w:rsidP="003B5910"/>
        </w:tc>
        <w:tc>
          <w:tcPr>
            <w:tcW w:w="2394" w:type="dxa"/>
            <w:vAlign w:val="bottom"/>
          </w:tcPr>
          <w:p w:rsidR="00B22F1E" w:rsidRDefault="00B22F1E" w:rsidP="00E461C0">
            <w:pPr>
              <w:jc w:val="right"/>
            </w:pPr>
          </w:p>
        </w:tc>
        <w:tc>
          <w:tcPr>
            <w:tcW w:w="2394" w:type="dxa"/>
            <w:vAlign w:val="bottom"/>
          </w:tcPr>
          <w:p w:rsidR="00B22F1E" w:rsidRDefault="00B22F1E" w:rsidP="00E461C0">
            <w:pPr>
              <w:jc w:val="right"/>
            </w:pPr>
          </w:p>
        </w:tc>
        <w:tc>
          <w:tcPr>
            <w:tcW w:w="2394" w:type="dxa"/>
            <w:vAlign w:val="bottom"/>
          </w:tcPr>
          <w:p w:rsidR="00B22F1E" w:rsidRDefault="00B22F1E" w:rsidP="00E461C0">
            <w:pPr>
              <w:jc w:val="right"/>
            </w:pPr>
          </w:p>
        </w:tc>
      </w:tr>
      <w:tr w:rsidR="00B22F1E" w:rsidTr="00E461C0">
        <w:tc>
          <w:tcPr>
            <w:tcW w:w="2394" w:type="dxa"/>
          </w:tcPr>
          <w:p w:rsidR="00B22F1E" w:rsidRPr="00B22F1E" w:rsidRDefault="00B22F1E" w:rsidP="003B5910">
            <w:pPr>
              <w:rPr>
                <w:b/>
              </w:rPr>
            </w:pPr>
            <w:r w:rsidRPr="00B22F1E">
              <w:rPr>
                <w:b/>
              </w:rPr>
              <w:t>Effectiveness of shares</w:t>
            </w:r>
          </w:p>
        </w:tc>
        <w:tc>
          <w:tcPr>
            <w:tcW w:w="2394" w:type="dxa"/>
            <w:vAlign w:val="bottom"/>
          </w:tcPr>
          <w:p w:rsidR="00B22F1E" w:rsidRDefault="00B22F1E" w:rsidP="00E461C0">
            <w:pPr>
              <w:jc w:val="right"/>
            </w:pPr>
          </w:p>
        </w:tc>
        <w:tc>
          <w:tcPr>
            <w:tcW w:w="2394" w:type="dxa"/>
            <w:vAlign w:val="bottom"/>
          </w:tcPr>
          <w:p w:rsidR="00B22F1E" w:rsidRDefault="00B22F1E" w:rsidP="00E461C0">
            <w:pPr>
              <w:jc w:val="right"/>
            </w:pPr>
          </w:p>
        </w:tc>
        <w:tc>
          <w:tcPr>
            <w:tcW w:w="2394" w:type="dxa"/>
            <w:vAlign w:val="bottom"/>
          </w:tcPr>
          <w:p w:rsidR="00B22F1E" w:rsidRDefault="00B22F1E" w:rsidP="00E461C0">
            <w:pPr>
              <w:jc w:val="right"/>
            </w:pPr>
          </w:p>
        </w:tc>
      </w:tr>
      <w:tr w:rsidR="00B22F1E" w:rsidTr="00E461C0">
        <w:tc>
          <w:tcPr>
            <w:tcW w:w="2394" w:type="dxa"/>
          </w:tcPr>
          <w:p w:rsidR="00B22F1E" w:rsidRDefault="00B22F1E" w:rsidP="003B5910"/>
        </w:tc>
        <w:tc>
          <w:tcPr>
            <w:tcW w:w="2394" w:type="dxa"/>
            <w:vAlign w:val="bottom"/>
          </w:tcPr>
          <w:p w:rsidR="00B22F1E" w:rsidRDefault="00B22F1E" w:rsidP="00E461C0">
            <w:pPr>
              <w:jc w:val="right"/>
            </w:pPr>
          </w:p>
        </w:tc>
        <w:tc>
          <w:tcPr>
            <w:tcW w:w="2394" w:type="dxa"/>
            <w:vAlign w:val="bottom"/>
          </w:tcPr>
          <w:p w:rsidR="00B22F1E" w:rsidRDefault="00B22F1E" w:rsidP="00E461C0">
            <w:pPr>
              <w:jc w:val="right"/>
            </w:pPr>
          </w:p>
        </w:tc>
        <w:tc>
          <w:tcPr>
            <w:tcW w:w="2394" w:type="dxa"/>
            <w:vAlign w:val="bottom"/>
          </w:tcPr>
          <w:p w:rsidR="00B22F1E" w:rsidRDefault="00B22F1E" w:rsidP="00E461C0">
            <w:pPr>
              <w:jc w:val="right"/>
            </w:pPr>
          </w:p>
        </w:tc>
      </w:tr>
      <w:tr w:rsidR="00B22F1E" w:rsidTr="00E461C0">
        <w:tc>
          <w:tcPr>
            <w:tcW w:w="2394" w:type="dxa"/>
          </w:tcPr>
          <w:p w:rsidR="00B22F1E" w:rsidRDefault="00E461C0" w:rsidP="003B5910">
            <w:r>
              <w:t>Books value per 1 share in PLN</w:t>
            </w:r>
          </w:p>
        </w:tc>
        <w:tc>
          <w:tcPr>
            <w:tcW w:w="2394" w:type="dxa"/>
            <w:vAlign w:val="bottom"/>
          </w:tcPr>
          <w:p w:rsidR="00B22F1E" w:rsidRDefault="00E461C0" w:rsidP="00E461C0">
            <w:pPr>
              <w:jc w:val="right"/>
            </w:pPr>
            <w:r>
              <w:t>7,19</w:t>
            </w:r>
          </w:p>
        </w:tc>
        <w:tc>
          <w:tcPr>
            <w:tcW w:w="2394" w:type="dxa"/>
            <w:vAlign w:val="bottom"/>
          </w:tcPr>
          <w:p w:rsidR="00B22F1E" w:rsidRDefault="00E461C0" w:rsidP="00E461C0">
            <w:pPr>
              <w:jc w:val="right"/>
            </w:pPr>
            <w:r>
              <w:t>9,87</w:t>
            </w:r>
          </w:p>
        </w:tc>
        <w:tc>
          <w:tcPr>
            <w:tcW w:w="2394" w:type="dxa"/>
            <w:vAlign w:val="bottom"/>
          </w:tcPr>
          <w:p w:rsidR="00B22F1E" w:rsidRDefault="00E461C0" w:rsidP="00E461C0">
            <w:pPr>
              <w:jc w:val="right"/>
            </w:pPr>
            <w:r>
              <w:t>9,65</w:t>
            </w:r>
          </w:p>
        </w:tc>
      </w:tr>
      <w:tr w:rsidR="00B22F1E" w:rsidTr="00E461C0">
        <w:tc>
          <w:tcPr>
            <w:tcW w:w="2394" w:type="dxa"/>
          </w:tcPr>
          <w:p w:rsidR="00B22F1E" w:rsidRDefault="00E461C0" w:rsidP="003B5910">
            <w:r>
              <w:t>Financial result per 1 share in PLN</w:t>
            </w:r>
          </w:p>
        </w:tc>
        <w:tc>
          <w:tcPr>
            <w:tcW w:w="2394" w:type="dxa"/>
            <w:vAlign w:val="bottom"/>
          </w:tcPr>
          <w:p w:rsidR="00B22F1E" w:rsidRDefault="00E461C0" w:rsidP="00E461C0">
            <w:pPr>
              <w:jc w:val="right"/>
            </w:pPr>
            <w:r>
              <w:t>(0,04)</w:t>
            </w:r>
          </w:p>
        </w:tc>
        <w:tc>
          <w:tcPr>
            <w:tcW w:w="2394" w:type="dxa"/>
            <w:vAlign w:val="bottom"/>
          </w:tcPr>
          <w:p w:rsidR="00B22F1E" w:rsidRDefault="00E461C0" w:rsidP="00E461C0">
            <w:pPr>
              <w:jc w:val="right"/>
            </w:pPr>
            <w:r>
              <w:t>0,22</w:t>
            </w:r>
          </w:p>
        </w:tc>
        <w:tc>
          <w:tcPr>
            <w:tcW w:w="2394" w:type="dxa"/>
            <w:vAlign w:val="bottom"/>
          </w:tcPr>
          <w:p w:rsidR="00B22F1E" w:rsidRDefault="00E461C0" w:rsidP="00E461C0">
            <w:pPr>
              <w:jc w:val="right"/>
            </w:pPr>
            <w:r>
              <w:t>0,15</w:t>
            </w:r>
          </w:p>
        </w:tc>
      </w:tr>
    </w:tbl>
    <w:p w:rsidR="00DB5350" w:rsidRDefault="00DB5350" w:rsidP="00DB5350">
      <w:pPr>
        <w:spacing w:line="240" w:lineRule="auto"/>
      </w:pPr>
    </w:p>
    <w:p w:rsidR="00E461C0" w:rsidRDefault="00E461C0" w:rsidP="00DB5350">
      <w:pPr>
        <w:spacing w:line="240" w:lineRule="auto"/>
      </w:pPr>
    </w:p>
    <w:p w:rsidR="001B4A36" w:rsidRDefault="001B4A36" w:rsidP="00DB5350">
      <w:pPr>
        <w:spacing w:line="240" w:lineRule="auto"/>
      </w:pPr>
    </w:p>
    <w:p w:rsidR="001B4A36" w:rsidRDefault="001B4A36" w:rsidP="00DB5350">
      <w:pPr>
        <w:spacing w:line="240" w:lineRule="auto"/>
      </w:pPr>
    </w:p>
    <w:p w:rsidR="001B4A36" w:rsidRDefault="001B4A36" w:rsidP="00DB5350">
      <w:pPr>
        <w:spacing w:line="240" w:lineRule="auto"/>
      </w:pPr>
    </w:p>
    <w:p w:rsidR="00E461C0" w:rsidRDefault="00E461C0" w:rsidP="00E461C0">
      <w:pPr>
        <w:spacing w:line="240" w:lineRule="auto"/>
        <w:rPr>
          <w:b/>
        </w:rPr>
      </w:pPr>
      <w:r w:rsidRPr="00E461C0">
        <w:rPr>
          <w:b/>
        </w:rPr>
        <w:t>3.</w:t>
      </w:r>
      <w:r>
        <w:rPr>
          <w:b/>
        </w:rPr>
        <w:t xml:space="preserve">  Commentary</w:t>
      </w:r>
    </w:p>
    <w:p w:rsidR="00E461C0" w:rsidRDefault="00E461C0" w:rsidP="00E461C0">
      <w:pPr>
        <w:spacing w:line="240" w:lineRule="auto"/>
        <w:rPr>
          <w:b/>
        </w:rPr>
      </w:pPr>
    </w:p>
    <w:p w:rsidR="00E461C0" w:rsidRDefault="00E461C0" w:rsidP="00E461C0">
      <w:pPr>
        <w:spacing w:line="240" w:lineRule="auto"/>
      </w:pPr>
      <w:r>
        <w:t>In the audited period, Company generated a loss in the amount of PLN 3,434 thousand.</w:t>
      </w:r>
      <w:r w:rsidR="001B4A36">
        <w:t xml:space="preserve"> Net loss in 2014 was caused by:</w:t>
      </w:r>
      <w:r>
        <w:t xml:space="preserve"> </w:t>
      </w:r>
    </w:p>
    <w:p w:rsidR="001B4A36" w:rsidRDefault="001B4A36" w:rsidP="001B4A36">
      <w:pPr>
        <w:pStyle w:val="ListParagraph"/>
        <w:numPr>
          <w:ilvl w:val="0"/>
          <w:numId w:val="10"/>
        </w:numPr>
        <w:spacing w:line="240" w:lineRule="auto"/>
      </w:pPr>
      <w:r>
        <w:t>gross sales profit in the amount of PLN 38,249 thousand which was lower by PLN 17,880 thousand compared to last year,</w:t>
      </w:r>
    </w:p>
    <w:p w:rsidR="001B4A36" w:rsidRDefault="001B4A36" w:rsidP="001B4A36">
      <w:pPr>
        <w:pStyle w:val="ListParagraph"/>
        <w:numPr>
          <w:ilvl w:val="0"/>
          <w:numId w:val="10"/>
        </w:numPr>
        <w:spacing w:line="240" w:lineRule="auto"/>
      </w:pPr>
      <w:r>
        <w:t>sales profit in the amount PLN 5,520 thousand which was lower by PLN 25,842 thousand compared to last year,</w:t>
      </w:r>
    </w:p>
    <w:p w:rsidR="001B4A36" w:rsidRDefault="001B4A36" w:rsidP="001B4A36">
      <w:pPr>
        <w:pStyle w:val="ListParagraph"/>
        <w:numPr>
          <w:ilvl w:val="0"/>
          <w:numId w:val="10"/>
        </w:numPr>
        <w:spacing w:line="240" w:lineRule="auto"/>
      </w:pPr>
      <w:r>
        <w:t>profit from other business operations in the amount of PLN 3,748</w:t>
      </w:r>
      <w:r w:rsidR="00391376">
        <w:t xml:space="preserve"> thousand</w:t>
      </w:r>
      <w:r>
        <w:t xml:space="preserve"> which was higher by PLN 1,018 thousand compared to last year,</w:t>
      </w:r>
    </w:p>
    <w:p w:rsidR="001B4A36" w:rsidRDefault="00391376" w:rsidP="001B4A36">
      <w:pPr>
        <w:pStyle w:val="ListParagraph"/>
        <w:numPr>
          <w:ilvl w:val="0"/>
          <w:numId w:val="10"/>
        </w:numPr>
        <w:spacing w:line="240" w:lineRule="auto"/>
      </w:pPr>
      <w:r>
        <w:t>loss on financial activity in the amount of PLN (13,267) thousand which was lower by PLN 6,654 thousand compared to last year,</w:t>
      </w:r>
    </w:p>
    <w:p w:rsidR="00391376" w:rsidRDefault="00391376" w:rsidP="001B4A36">
      <w:pPr>
        <w:pStyle w:val="ListParagraph"/>
        <w:numPr>
          <w:ilvl w:val="0"/>
          <w:numId w:val="10"/>
        </w:numPr>
        <w:spacing w:line="240" w:lineRule="auto"/>
      </w:pPr>
      <w:r>
        <w:t>deferred income tax in the amount of PLN 565 thousand.</w:t>
      </w:r>
    </w:p>
    <w:p w:rsidR="00391376" w:rsidRDefault="00391376" w:rsidP="00391376">
      <w:pPr>
        <w:spacing w:line="240" w:lineRule="auto"/>
      </w:pPr>
    </w:p>
    <w:p w:rsidR="00391376" w:rsidRDefault="00391376" w:rsidP="00391376">
      <w:pPr>
        <w:spacing w:line="240" w:lineRule="auto"/>
      </w:pPr>
      <w:r>
        <w:t>Main tendencies and changes:</w:t>
      </w:r>
    </w:p>
    <w:p w:rsidR="00391376" w:rsidRDefault="00391376" w:rsidP="00391376">
      <w:pPr>
        <w:pStyle w:val="ListParagraph"/>
        <w:numPr>
          <w:ilvl w:val="0"/>
          <w:numId w:val="11"/>
        </w:numPr>
        <w:spacing w:line="240" w:lineRule="auto"/>
      </w:pPr>
      <w:r>
        <w:t>The main source of sales revenue for Company in the audited period was the sales of plots of land, construction of industrial and commercial buildings as well as sales of apartments.</w:t>
      </w:r>
    </w:p>
    <w:p w:rsidR="00990AD6" w:rsidRDefault="00990AD6" w:rsidP="00990AD6">
      <w:pPr>
        <w:pStyle w:val="ListParagraph"/>
        <w:spacing w:line="240" w:lineRule="auto"/>
      </w:pPr>
    </w:p>
    <w:p w:rsidR="00990AD6" w:rsidRDefault="00391376" w:rsidP="00990AD6">
      <w:pPr>
        <w:pStyle w:val="ListParagraph"/>
        <w:numPr>
          <w:ilvl w:val="0"/>
          <w:numId w:val="11"/>
        </w:numPr>
        <w:spacing w:line="240" w:lineRule="auto"/>
      </w:pPr>
      <w:r>
        <w:t xml:space="preserve">Current assets constitute 30,3% of the balance sheet sum and, compared to December 31, 2013, this </w:t>
      </w:r>
      <w:r w:rsidR="00FB6D96">
        <w:t>share was decreased by 7,5 percentage points as a result of the decrease of short-term investments. Fixed assets constitute 69,7% of the balance sheet sum, and their increase in comparison to last year resulted from higher values of long-term investments.</w:t>
      </w:r>
    </w:p>
    <w:p w:rsidR="00990AD6" w:rsidRDefault="00990AD6" w:rsidP="00990AD6">
      <w:pPr>
        <w:pStyle w:val="ListParagraph"/>
      </w:pPr>
    </w:p>
    <w:p w:rsidR="00990AD6" w:rsidRDefault="00990AD6" w:rsidP="00990AD6">
      <w:pPr>
        <w:pStyle w:val="ListParagraph"/>
        <w:spacing w:line="240" w:lineRule="auto"/>
      </w:pPr>
    </w:p>
    <w:p w:rsidR="008D5D34" w:rsidRDefault="00FB6D96" w:rsidP="00391376">
      <w:pPr>
        <w:pStyle w:val="ListParagraph"/>
        <w:numPr>
          <w:ilvl w:val="0"/>
          <w:numId w:val="11"/>
        </w:numPr>
        <w:spacing w:line="240" w:lineRule="auto"/>
      </w:pPr>
      <w:r>
        <w:t xml:space="preserve">From the analysis of the structure of </w:t>
      </w:r>
      <w:r w:rsidR="00990AD6">
        <w:t xml:space="preserve">liabilities it follows that Company economic activity was </w:t>
      </w:r>
      <w:r w:rsidR="008D5D34">
        <w:t>financed, in 2014, in 53,3% with Company equity, and in 46,7% with borrowed capital. Debt ratio of Company, compared to last year, has been decreased by 11,9 percentage points.</w:t>
      </w:r>
    </w:p>
    <w:p w:rsidR="008D5D34" w:rsidRDefault="008D5D34" w:rsidP="008D5D34">
      <w:pPr>
        <w:pStyle w:val="ListParagraph"/>
        <w:spacing w:line="240" w:lineRule="auto"/>
      </w:pPr>
    </w:p>
    <w:p w:rsidR="00391376" w:rsidRDefault="008D5D34" w:rsidP="008D5D34">
      <w:pPr>
        <w:pStyle w:val="ListParagraph"/>
        <w:numPr>
          <w:ilvl w:val="0"/>
          <w:numId w:val="11"/>
        </w:numPr>
        <w:spacing w:line="240" w:lineRule="auto"/>
      </w:pPr>
      <w:r>
        <w:t xml:space="preserve">in the analyzed business year, all return-on-sales indicators have gone down, which resulted mainly from the borne loss and lowered revenue by 27%. The rate of return on tangible assets reached 0,3%, which means that every PLN 100 of engaged </w:t>
      </w:r>
      <w:r w:rsidR="001351EB">
        <w:t>tangible assets generated PLN 0,3 net loss. Compared to last year, this indicator decreased by 1,2 percentage points. In the audited period, there has been a decrease of the return rate of Company equity to the level of (0,5)%. Gross return on sales of Company was decreased compared to last year and reached 18,1%, which is 1,2 percentage points less.</w:t>
      </w:r>
    </w:p>
    <w:p w:rsidR="001351EB" w:rsidRDefault="001351EB" w:rsidP="001351EB">
      <w:pPr>
        <w:pStyle w:val="ListParagraph"/>
      </w:pPr>
    </w:p>
    <w:p w:rsidR="00C035F3" w:rsidRDefault="00C035F3" w:rsidP="008D5D34">
      <w:pPr>
        <w:pStyle w:val="ListParagraph"/>
        <w:numPr>
          <w:ilvl w:val="0"/>
          <w:numId w:val="11"/>
        </w:numPr>
        <w:spacing w:line="240" w:lineRule="auto"/>
      </w:pPr>
      <w:r>
        <w:lastRenderedPageBreak/>
        <w:t>in the analyzed period, the debt collection indicator decreased by a factor of 21 days compared to the year before and was 63 days. An average period of liabilities settlement was shortened by a factor of 17 days compared with the year before and was 101 days. These figures show that Company collected its trade receivables, on average, 38 days earlier than it settled its liabilities. The changes of the indicators in the audited period were a result of lower sales revenue and lower trade receivables compared to the year before.</w:t>
      </w:r>
    </w:p>
    <w:p w:rsidR="00C035F3" w:rsidRDefault="00C035F3" w:rsidP="00C035F3">
      <w:pPr>
        <w:pStyle w:val="ListParagraph"/>
      </w:pPr>
    </w:p>
    <w:p w:rsidR="001351EB" w:rsidRDefault="00C035F3" w:rsidP="008D5D34">
      <w:pPr>
        <w:pStyle w:val="ListParagraph"/>
        <w:numPr>
          <w:ilvl w:val="0"/>
          <w:numId w:val="11"/>
        </w:numPr>
        <w:spacing w:line="240" w:lineRule="auto"/>
      </w:pPr>
      <w:r>
        <w:t xml:space="preserve">  An average period of maintaining inventories </w:t>
      </w:r>
      <w:r w:rsidR="00131008">
        <w:t>was shortened compared to the year before, which results from faster completion of building contracts. A long period of inventory rotation is characteristic of real estate development industry that company is part of.</w:t>
      </w:r>
    </w:p>
    <w:p w:rsidR="00131008" w:rsidRDefault="00131008" w:rsidP="00131008">
      <w:pPr>
        <w:pStyle w:val="ListParagraph"/>
        <w:spacing w:line="240" w:lineRule="auto"/>
      </w:pPr>
    </w:p>
    <w:p w:rsidR="00131008" w:rsidRDefault="00131008" w:rsidP="00131008">
      <w:pPr>
        <w:pStyle w:val="ListParagraph"/>
        <w:spacing w:line="240" w:lineRule="auto"/>
      </w:pPr>
      <w:r>
        <w:t>During the audit of the financial statement we have not identified anything that would indicate that as a result of ceasing</w:t>
      </w:r>
      <w:r w:rsidR="002C6AFC">
        <w:t xml:space="preserve"> or significant limitation of the current activity Company would not be able to continue business activity thereof in the next auditing period.</w:t>
      </w:r>
      <w:r>
        <w:t xml:space="preserve"> </w:t>
      </w:r>
    </w:p>
    <w:p w:rsidR="00623604" w:rsidRDefault="00623604" w:rsidP="00131008">
      <w:pPr>
        <w:pStyle w:val="ListParagraph"/>
        <w:spacing w:line="240" w:lineRule="auto"/>
      </w:pPr>
    </w:p>
    <w:p w:rsidR="00623604" w:rsidRDefault="00623604" w:rsidP="00131008">
      <w:pPr>
        <w:pStyle w:val="ListParagraph"/>
        <w:spacing w:line="240" w:lineRule="auto"/>
      </w:pPr>
    </w:p>
    <w:p w:rsidR="00623604" w:rsidRDefault="00623604" w:rsidP="00623604">
      <w:pPr>
        <w:pStyle w:val="ListParagraph"/>
        <w:numPr>
          <w:ilvl w:val="0"/>
          <w:numId w:val="3"/>
        </w:numPr>
        <w:spacing w:line="240" w:lineRule="auto"/>
        <w:ind w:left="0" w:firstLine="0"/>
        <w:rPr>
          <w:b/>
        </w:rPr>
      </w:pPr>
      <w:r w:rsidRPr="00623604">
        <w:rPr>
          <w:b/>
        </w:rPr>
        <w:t>SPECIFIC PART OF REPORT</w:t>
      </w:r>
    </w:p>
    <w:p w:rsidR="00623604" w:rsidRDefault="00623604" w:rsidP="00623604">
      <w:pPr>
        <w:spacing w:line="240" w:lineRule="auto"/>
        <w:rPr>
          <w:b/>
        </w:rPr>
      </w:pPr>
      <w:r w:rsidRPr="00623604">
        <w:rPr>
          <w:b/>
        </w:rPr>
        <w:t>1.</w:t>
      </w:r>
      <w:r>
        <w:rPr>
          <w:b/>
        </w:rPr>
        <w:t xml:space="preserve"> </w:t>
      </w:r>
      <w:r>
        <w:rPr>
          <w:b/>
        </w:rPr>
        <w:tab/>
        <w:t>Assessment of the bookkeeping system and internal control</w:t>
      </w:r>
    </w:p>
    <w:p w:rsidR="00623604" w:rsidRDefault="00623604" w:rsidP="00623604">
      <w:pPr>
        <w:spacing w:line="240" w:lineRule="auto"/>
        <w:rPr>
          <w:b/>
        </w:rPr>
      </w:pPr>
    </w:p>
    <w:p w:rsidR="00623604" w:rsidRDefault="00623604" w:rsidP="00623604">
      <w:pPr>
        <w:spacing w:line="240" w:lineRule="auto"/>
      </w:pPr>
      <w:r>
        <w:t>Company has documentation describing the adopted accounting principles in accordance with article 10 of the Polish Accounting Act.</w:t>
      </w:r>
    </w:p>
    <w:p w:rsidR="00623604" w:rsidRDefault="00623604" w:rsidP="00623604">
      <w:pPr>
        <w:spacing w:line="240" w:lineRule="auto"/>
      </w:pPr>
      <w:r>
        <w:t xml:space="preserve">Books are kept </w:t>
      </w:r>
      <w:r w:rsidR="0012174A">
        <w:t>in Company premises and accounting records are stored in electronic form vie the support of SAP software.</w:t>
      </w:r>
    </w:p>
    <w:p w:rsidR="0012174A" w:rsidRDefault="0012174A" w:rsidP="00623604">
      <w:pPr>
        <w:spacing w:line="240" w:lineRule="auto"/>
      </w:pPr>
      <w:r>
        <w:t>During the audit of the financial statement, we carried out random checks of the accounting system at work. The purpose of the audit was not to express a comprehensive opinion on the functioning of this system.</w:t>
      </w:r>
    </w:p>
    <w:p w:rsidR="0012174A" w:rsidRDefault="0012174A" w:rsidP="00623604">
      <w:pPr>
        <w:spacing w:line="240" w:lineRule="auto"/>
      </w:pPr>
      <w:r>
        <w:t>During the conducted work we did not identify any improprieties in the accounting books that could have a significant influence on the audited financial statement. It regarded in particular but not conclusively:</w:t>
      </w:r>
    </w:p>
    <w:p w:rsidR="0012174A" w:rsidRDefault="0012174A" w:rsidP="0012174A">
      <w:pPr>
        <w:spacing w:line="240" w:lineRule="auto"/>
      </w:pPr>
      <w:r>
        <w:t xml:space="preserve">— </w:t>
      </w:r>
      <w:r w:rsidR="00F02AA2">
        <w:t>appropriateness and continuity of applied principles (policy) of accounting, including appropriateness of opening of the ledgers,</w:t>
      </w:r>
    </w:p>
    <w:p w:rsidR="00F02AA2" w:rsidRDefault="00F02AA2" w:rsidP="0012174A">
      <w:pPr>
        <w:spacing w:line="240" w:lineRule="auto"/>
      </w:pPr>
      <w:r>
        <w:t xml:space="preserve">— correctness, completeness and clearness of made entries and their linking to bookkeeping evidence as well as the </w:t>
      </w:r>
      <w:r w:rsidR="00E34088">
        <w:t>financial statement,</w:t>
      </w:r>
    </w:p>
    <w:p w:rsidR="00E34088" w:rsidRDefault="00E34088" w:rsidP="0012174A">
      <w:pPr>
        <w:spacing w:line="240" w:lineRule="auto"/>
      </w:pPr>
      <w:r>
        <w:t>— appropriate protection of bookkeeping documentation, ledgers and financial statements.</w:t>
      </w:r>
    </w:p>
    <w:p w:rsidR="00E34088" w:rsidRDefault="00E34088" w:rsidP="0012174A">
      <w:pPr>
        <w:spacing w:line="240" w:lineRule="auto"/>
      </w:pPr>
    </w:p>
    <w:p w:rsidR="00E34088" w:rsidRDefault="00E34088" w:rsidP="0012174A">
      <w:pPr>
        <w:spacing w:line="240" w:lineRule="auto"/>
      </w:pPr>
      <w:r w:rsidRPr="00E34088">
        <w:t>Stocktaking of assets and liabilit</w:t>
      </w:r>
      <w:r>
        <w:t>i</w:t>
      </w:r>
      <w:r w:rsidRPr="00E34088">
        <w:t>es conducted in the scope, time limits and frequency provided for in the Accounting Act can be deemed correct, and identified differences have been settled in ledgers for the audited year.</w:t>
      </w:r>
    </w:p>
    <w:p w:rsidR="00E34088" w:rsidRDefault="00E34088" w:rsidP="0012174A">
      <w:pPr>
        <w:spacing w:line="240" w:lineRule="auto"/>
      </w:pPr>
    </w:p>
    <w:p w:rsidR="00E34088" w:rsidRDefault="00E34088" w:rsidP="00E34088">
      <w:pPr>
        <w:spacing w:line="240" w:lineRule="auto"/>
        <w:rPr>
          <w:b/>
        </w:rPr>
      </w:pPr>
      <w:r w:rsidRPr="00E34088">
        <w:rPr>
          <w:b/>
        </w:rPr>
        <w:t>2.</w:t>
      </w:r>
      <w:r>
        <w:rPr>
          <w:b/>
        </w:rPr>
        <w:t xml:space="preserve"> Information about selected significant items in the financial statement</w:t>
      </w:r>
    </w:p>
    <w:p w:rsidR="00E34088" w:rsidRDefault="00E34088" w:rsidP="00E34088">
      <w:pPr>
        <w:spacing w:line="240" w:lineRule="auto"/>
        <w:rPr>
          <w:b/>
        </w:rPr>
      </w:pPr>
    </w:p>
    <w:p w:rsidR="00E34088" w:rsidRDefault="00E84D81" w:rsidP="00E34088">
      <w:pPr>
        <w:spacing w:line="240" w:lineRule="auto"/>
      </w:pPr>
      <w:r>
        <w:t>Most important items from the financial statement have been described in the notes to Company financial statement as well as the report on Company economic activity.</w:t>
      </w:r>
    </w:p>
    <w:p w:rsidR="00E84D81" w:rsidRDefault="00E84D81" w:rsidP="00E84D81">
      <w:pPr>
        <w:spacing w:line="240" w:lineRule="auto"/>
        <w:rPr>
          <w:b/>
        </w:rPr>
      </w:pPr>
      <w:r w:rsidRPr="00E84D81">
        <w:rPr>
          <w:b/>
        </w:rPr>
        <w:t>3.</w:t>
      </w:r>
      <w:r>
        <w:rPr>
          <w:b/>
        </w:rPr>
        <w:t xml:space="preserve"> Additional information</w:t>
      </w:r>
    </w:p>
    <w:p w:rsidR="00E84D81" w:rsidRDefault="00E84D81" w:rsidP="00E84D81">
      <w:pPr>
        <w:spacing w:line="240" w:lineRule="auto"/>
        <w:rPr>
          <w:b/>
        </w:rPr>
      </w:pPr>
    </w:p>
    <w:p w:rsidR="00E84D81" w:rsidRDefault="00E84D81" w:rsidP="00E84D81">
      <w:pPr>
        <w:spacing w:line="240" w:lineRule="auto"/>
      </w:pPr>
      <w:r>
        <w:t>Information included in the introduction to the financial statement as well as additional information have been prepared in a complete and correct fashion.</w:t>
      </w:r>
    </w:p>
    <w:p w:rsidR="00E84D81" w:rsidRDefault="00E84D81" w:rsidP="00E84D81">
      <w:pPr>
        <w:spacing w:line="240" w:lineRule="auto"/>
      </w:pPr>
    </w:p>
    <w:p w:rsidR="00E84D81" w:rsidRDefault="00E84D81" w:rsidP="00E84D81">
      <w:pPr>
        <w:spacing w:line="240" w:lineRule="auto"/>
        <w:rPr>
          <w:b/>
        </w:rPr>
      </w:pPr>
      <w:r w:rsidRPr="00E84D81">
        <w:rPr>
          <w:b/>
        </w:rPr>
        <w:t>4.</w:t>
      </w:r>
      <w:r>
        <w:t xml:space="preserve">  </w:t>
      </w:r>
      <w:r>
        <w:rPr>
          <w:b/>
        </w:rPr>
        <w:t>Report on Company economic activity</w:t>
      </w:r>
    </w:p>
    <w:p w:rsidR="00E84D81" w:rsidRDefault="00E84D81" w:rsidP="00E84D81">
      <w:pPr>
        <w:spacing w:line="240" w:lineRule="auto"/>
        <w:rPr>
          <w:b/>
        </w:rPr>
      </w:pPr>
    </w:p>
    <w:p w:rsidR="00E34088" w:rsidRDefault="00E84D81" w:rsidP="0012174A">
      <w:pPr>
        <w:spacing w:line="240" w:lineRule="auto"/>
      </w:pPr>
      <w:r>
        <w:t>The report on the economic activity of Company has been prepared in accordance with the requirements of art. 49 of the Accounting Act and the Minister of Finance Ordinance as of February 19, 2009 on the current and periodical information provided by the issuers of security papers, as well as the conditions for deeming information required by law of non-member states as equivalent (Journal of Law of 2014, item 133).</w:t>
      </w:r>
    </w:p>
    <w:p w:rsidR="00E84D81" w:rsidRDefault="00E84D81" w:rsidP="0012174A">
      <w:pPr>
        <w:spacing w:line="240" w:lineRule="auto"/>
      </w:pPr>
    </w:p>
    <w:p w:rsidR="00E84D81" w:rsidRDefault="00E84D81" w:rsidP="0012174A">
      <w:pPr>
        <w:spacing w:line="240" w:lineRule="auto"/>
      </w:pPr>
      <w:r>
        <w:t>Information found in the report of Company economic activity are compliant with the information found in the audited financial statement.</w:t>
      </w:r>
    </w:p>
    <w:p w:rsidR="00E84D81" w:rsidRDefault="00E84D81" w:rsidP="0012174A">
      <w:pPr>
        <w:spacing w:line="240" w:lineRule="auto"/>
      </w:pPr>
    </w:p>
    <w:p w:rsidR="00E84D81" w:rsidRDefault="00E84D81" w:rsidP="00E84D81">
      <w:pPr>
        <w:spacing w:line="240" w:lineRule="auto"/>
        <w:rPr>
          <w:b/>
        </w:rPr>
      </w:pPr>
      <w:r w:rsidRPr="00E84D81">
        <w:rPr>
          <w:b/>
        </w:rPr>
        <w:t>5.</w:t>
      </w:r>
      <w:r>
        <w:rPr>
          <w:b/>
        </w:rPr>
        <w:t xml:space="preserve"> Declaration of Company Management</w:t>
      </w:r>
    </w:p>
    <w:p w:rsidR="00E84D81" w:rsidRDefault="00E84D81" w:rsidP="00E84D81">
      <w:pPr>
        <w:spacing w:line="240" w:lineRule="auto"/>
        <w:rPr>
          <w:b/>
        </w:rPr>
      </w:pPr>
    </w:p>
    <w:p w:rsidR="004A7FF8" w:rsidRDefault="00E84D81" w:rsidP="00E84D81">
      <w:pPr>
        <w:spacing w:line="240" w:lineRule="auto"/>
      </w:pPr>
      <w:r>
        <w:t>Company Management has placed a written statement regarding completeness of data found in ledgers</w:t>
      </w:r>
      <w:r w:rsidR="004A7FF8">
        <w:t>, entirety of reported conditional obligations as well lack of occurrence of important events following the balance sheet day.</w:t>
      </w:r>
    </w:p>
    <w:p w:rsidR="004A7FF8" w:rsidRDefault="004A7FF8" w:rsidP="00E84D81">
      <w:pPr>
        <w:spacing w:line="240" w:lineRule="auto"/>
      </w:pPr>
    </w:p>
    <w:p w:rsidR="004A7FF8" w:rsidRDefault="004A7FF8" w:rsidP="00E84D81">
      <w:pPr>
        <w:spacing w:line="240" w:lineRule="auto"/>
      </w:pPr>
      <w:r>
        <w:t>Poznan, March 19, 2014</w:t>
      </w:r>
    </w:p>
    <w:p w:rsidR="004A7FF8" w:rsidRDefault="004A7FF8" w:rsidP="00E84D81">
      <w:pPr>
        <w:spacing w:line="240" w:lineRule="auto"/>
      </w:pPr>
    </w:p>
    <w:p w:rsidR="004A7FF8" w:rsidRDefault="004A7FF8" w:rsidP="00E84D81">
      <w:pPr>
        <w:spacing w:line="240" w:lineRule="auto"/>
      </w:pPr>
    </w:p>
    <w:p w:rsidR="004A7FF8" w:rsidRPr="009E3303" w:rsidRDefault="004A7FF8" w:rsidP="004A7FF8">
      <w:pPr>
        <w:pStyle w:val="ListParagraph"/>
        <w:ind w:left="1440"/>
        <w:jc w:val="center"/>
        <w:rPr>
          <w:b/>
          <w:lang w:val="pl-PL"/>
        </w:rPr>
      </w:pPr>
      <w:r w:rsidRPr="004A7FF8">
        <w:rPr>
          <w:lang w:val="pl-PL"/>
        </w:rPr>
        <w:t xml:space="preserve"> </w:t>
      </w:r>
      <w:r w:rsidRPr="009E3303">
        <w:rPr>
          <w:b/>
          <w:lang w:val="pl-PL"/>
        </w:rPr>
        <w:t>BDO Sp. z o.o.</w:t>
      </w:r>
    </w:p>
    <w:p w:rsidR="004A7FF8" w:rsidRPr="004A7FF8" w:rsidRDefault="004A7FF8" w:rsidP="004A7FF8">
      <w:pPr>
        <w:pStyle w:val="ListParagraph"/>
        <w:ind w:left="1440"/>
        <w:jc w:val="center"/>
        <w:rPr>
          <w:b/>
          <w:lang w:val="pl-PL"/>
        </w:rPr>
      </w:pPr>
      <w:r w:rsidRPr="004A7FF8">
        <w:rPr>
          <w:b/>
          <w:lang w:val="pl-PL"/>
        </w:rPr>
        <w:t>ul. Postępu 12</w:t>
      </w:r>
    </w:p>
    <w:p w:rsidR="004A7FF8" w:rsidRPr="009E3303" w:rsidRDefault="004A7FF8" w:rsidP="004A7FF8">
      <w:pPr>
        <w:pStyle w:val="ListParagraph"/>
        <w:ind w:left="1440"/>
        <w:jc w:val="center"/>
        <w:rPr>
          <w:b/>
        </w:rPr>
      </w:pPr>
      <w:r w:rsidRPr="009E3303">
        <w:rPr>
          <w:b/>
        </w:rPr>
        <w:lastRenderedPageBreak/>
        <w:t>02-676 Warszawa</w:t>
      </w:r>
    </w:p>
    <w:p w:rsidR="004A7FF8" w:rsidRDefault="004A7FF8" w:rsidP="004A7FF8">
      <w:pPr>
        <w:pStyle w:val="ListParagraph"/>
        <w:ind w:left="1440"/>
        <w:jc w:val="center"/>
        <w:rPr>
          <w:b/>
        </w:rPr>
      </w:pPr>
      <w:r w:rsidRPr="009E3303">
        <w:rPr>
          <w:b/>
        </w:rPr>
        <w:t xml:space="preserve">Entity eligible for auditing of financial statements no. </w:t>
      </w:r>
      <w:r>
        <w:rPr>
          <w:b/>
        </w:rPr>
        <w:t>3355</w:t>
      </w:r>
    </w:p>
    <w:p w:rsidR="004A7FF8" w:rsidRDefault="004A7FF8" w:rsidP="004A7FF8">
      <w:pPr>
        <w:pStyle w:val="ListParagraph"/>
        <w:ind w:left="1440"/>
        <w:jc w:val="center"/>
        <w:rPr>
          <w:b/>
        </w:rPr>
      </w:pPr>
    </w:p>
    <w:p w:rsidR="004A7FF8" w:rsidRDefault="004A7FF8" w:rsidP="004A7FF8">
      <w:pPr>
        <w:pStyle w:val="ListParagraph"/>
        <w:ind w:left="1440"/>
        <w:rPr>
          <w:b/>
        </w:rPr>
      </w:pPr>
    </w:p>
    <w:p w:rsidR="004A7FF8" w:rsidRDefault="004A7FF8" w:rsidP="004A7FF8">
      <w:pPr>
        <w:pStyle w:val="ListParagraph"/>
        <w:ind w:left="1440"/>
        <w:rPr>
          <w:b/>
        </w:rPr>
      </w:pPr>
      <w:r>
        <w:rPr>
          <w:b/>
        </w:rPr>
        <w:t xml:space="preserve">Key certified auditor </w:t>
      </w:r>
      <w:r>
        <w:rPr>
          <w:b/>
        </w:rPr>
        <w:tab/>
      </w:r>
      <w:r>
        <w:rPr>
          <w:b/>
        </w:rPr>
        <w:tab/>
      </w:r>
      <w:r>
        <w:rPr>
          <w:b/>
        </w:rPr>
        <w:tab/>
      </w:r>
      <w:r>
        <w:rPr>
          <w:b/>
        </w:rPr>
        <w:tab/>
        <w:t>Acting on behalf of BDP Sp. z o.o.:</w:t>
      </w:r>
    </w:p>
    <w:p w:rsidR="004A7FF8" w:rsidRDefault="004A7FF8" w:rsidP="004A7FF8">
      <w:pPr>
        <w:pStyle w:val="ListParagraph"/>
        <w:ind w:left="1440"/>
        <w:rPr>
          <w:b/>
        </w:rPr>
      </w:pPr>
      <w:r>
        <w:rPr>
          <w:b/>
        </w:rPr>
        <w:t>conduction the audit:</w:t>
      </w:r>
    </w:p>
    <w:p w:rsidR="004A7FF8" w:rsidRDefault="004A7FF8" w:rsidP="004A7FF8">
      <w:pPr>
        <w:pStyle w:val="ListParagraph"/>
        <w:ind w:left="1440"/>
        <w:rPr>
          <w:b/>
        </w:rPr>
      </w:pPr>
    </w:p>
    <w:p w:rsidR="004A7FF8" w:rsidRDefault="004A7FF8" w:rsidP="004A7FF8">
      <w:pPr>
        <w:pStyle w:val="ListParagraph"/>
        <w:ind w:left="1440"/>
        <w:rPr>
          <w:b/>
        </w:rPr>
      </w:pPr>
    </w:p>
    <w:p w:rsidR="004A7FF8" w:rsidRDefault="004A7FF8" w:rsidP="004A7FF8">
      <w:pPr>
        <w:pStyle w:val="ListParagraph"/>
        <w:ind w:left="1440"/>
        <w:rPr>
          <w:b/>
        </w:rPr>
      </w:pPr>
      <w:r>
        <w:rPr>
          <w:b/>
        </w:rPr>
        <w:t>Edyta Kalińska</w:t>
      </w:r>
      <w:r>
        <w:rPr>
          <w:b/>
        </w:rPr>
        <w:tab/>
      </w:r>
      <w:r>
        <w:rPr>
          <w:b/>
        </w:rPr>
        <w:tab/>
      </w:r>
      <w:r>
        <w:rPr>
          <w:b/>
        </w:rPr>
        <w:tab/>
      </w:r>
      <w:r>
        <w:rPr>
          <w:b/>
        </w:rPr>
        <w:tab/>
      </w:r>
      <w:r>
        <w:rPr>
          <w:b/>
        </w:rPr>
        <w:tab/>
        <w:t>dr Andre Helin</w:t>
      </w:r>
    </w:p>
    <w:p w:rsidR="004A7FF8" w:rsidRDefault="004A7FF8" w:rsidP="004A7FF8">
      <w:pPr>
        <w:pStyle w:val="ListParagraph"/>
        <w:ind w:left="1440"/>
        <w:rPr>
          <w:b/>
        </w:rPr>
      </w:pPr>
      <w:r>
        <w:rPr>
          <w:b/>
        </w:rPr>
        <w:t>Certified Auditor</w:t>
      </w:r>
      <w:r>
        <w:rPr>
          <w:b/>
        </w:rPr>
        <w:tab/>
      </w:r>
      <w:r>
        <w:rPr>
          <w:b/>
        </w:rPr>
        <w:tab/>
      </w:r>
      <w:r>
        <w:rPr>
          <w:b/>
        </w:rPr>
        <w:tab/>
      </w:r>
      <w:r>
        <w:rPr>
          <w:b/>
        </w:rPr>
        <w:tab/>
        <w:t>Director of the Management Board</w:t>
      </w:r>
    </w:p>
    <w:p w:rsidR="004A7FF8" w:rsidRDefault="004A7FF8" w:rsidP="004A7FF8">
      <w:pPr>
        <w:pStyle w:val="ListParagraph"/>
        <w:ind w:left="1440"/>
        <w:rPr>
          <w:b/>
        </w:rPr>
      </w:pPr>
      <w:r>
        <w:rPr>
          <w:b/>
        </w:rPr>
        <w:t>License no. 10336</w:t>
      </w:r>
      <w:r>
        <w:rPr>
          <w:b/>
        </w:rPr>
        <w:tab/>
      </w:r>
      <w:r>
        <w:rPr>
          <w:b/>
        </w:rPr>
        <w:tab/>
      </w:r>
      <w:r>
        <w:rPr>
          <w:b/>
        </w:rPr>
        <w:tab/>
      </w:r>
      <w:r>
        <w:rPr>
          <w:b/>
        </w:rPr>
        <w:tab/>
        <w:t>Certified Auditor, license no. 90004</w:t>
      </w:r>
    </w:p>
    <w:p w:rsidR="00E84D81" w:rsidRPr="00E84D81" w:rsidRDefault="00E84D81" w:rsidP="00E84D81">
      <w:pPr>
        <w:spacing w:line="240" w:lineRule="auto"/>
      </w:pPr>
    </w:p>
    <w:p w:rsidR="00E34088" w:rsidRPr="00E34088" w:rsidRDefault="00E34088" w:rsidP="0012174A">
      <w:pPr>
        <w:spacing w:line="240" w:lineRule="auto"/>
      </w:pPr>
    </w:p>
    <w:p w:rsidR="0012174A" w:rsidRDefault="0012174A" w:rsidP="00623604">
      <w:pPr>
        <w:spacing w:line="240" w:lineRule="auto"/>
      </w:pPr>
    </w:p>
    <w:p w:rsidR="0012174A" w:rsidRPr="00623604" w:rsidRDefault="0012174A" w:rsidP="00623604">
      <w:pPr>
        <w:spacing w:line="240" w:lineRule="auto"/>
      </w:pPr>
    </w:p>
    <w:p w:rsidR="008A0433" w:rsidRPr="00623604" w:rsidRDefault="008A0433" w:rsidP="001A135D">
      <w:pPr>
        <w:spacing w:line="240" w:lineRule="auto"/>
        <w:rPr>
          <w:b/>
          <w:sz w:val="18"/>
          <w:szCs w:val="18"/>
        </w:rPr>
      </w:pPr>
    </w:p>
    <w:p w:rsidR="001A135D" w:rsidRPr="001A135D" w:rsidRDefault="001A135D" w:rsidP="001A135D">
      <w:pPr>
        <w:pStyle w:val="ListParagraph"/>
        <w:ind w:left="2160"/>
        <w:rPr>
          <w:b/>
          <w:sz w:val="18"/>
          <w:szCs w:val="18"/>
        </w:rPr>
      </w:pPr>
    </w:p>
    <w:p w:rsidR="001A135D" w:rsidRPr="001A135D" w:rsidRDefault="001A135D" w:rsidP="001A135D">
      <w:pPr>
        <w:pStyle w:val="ListParagraph"/>
        <w:ind w:left="2160"/>
        <w:rPr>
          <w:b/>
          <w:sz w:val="18"/>
          <w:szCs w:val="18"/>
        </w:rPr>
      </w:pPr>
    </w:p>
    <w:p w:rsidR="00BE2448" w:rsidRPr="001A135D" w:rsidRDefault="00BE2448" w:rsidP="00BE2448">
      <w:pPr>
        <w:pStyle w:val="ListParagraph"/>
        <w:ind w:left="1800"/>
        <w:rPr>
          <w:sz w:val="18"/>
          <w:szCs w:val="18"/>
        </w:rPr>
      </w:pPr>
    </w:p>
    <w:p w:rsidR="00BE2448" w:rsidRPr="001A135D" w:rsidRDefault="00BE2448" w:rsidP="00BE2448">
      <w:pPr>
        <w:pStyle w:val="ListParagraph"/>
        <w:ind w:left="1800"/>
        <w:rPr>
          <w:sz w:val="18"/>
          <w:szCs w:val="18"/>
        </w:rPr>
      </w:pPr>
    </w:p>
    <w:p w:rsidR="00BE2448" w:rsidRPr="00090085" w:rsidRDefault="00BE2448" w:rsidP="00A35138">
      <w:pPr>
        <w:ind w:left="1440"/>
      </w:pPr>
    </w:p>
    <w:sectPr w:rsidR="00BE2448" w:rsidRPr="00090085" w:rsidSect="002C51D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8A2" w:rsidRDefault="000448A2" w:rsidP="004B592B">
      <w:pPr>
        <w:spacing w:after="0" w:line="240" w:lineRule="auto"/>
      </w:pPr>
      <w:r>
        <w:separator/>
      </w:r>
    </w:p>
  </w:endnote>
  <w:endnote w:type="continuationSeparator" w:id="0">
    <w:p w:rsidR="000448A2" w:rsidRDefault="000448A2" w:rsidP="004B5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92B" w:rsidRDefault="004B59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92B" w:rsidRDefault="004B59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92B" w:rsidRDefault="004B59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8A2" w:rsidRDefault="000448A2" w:rsidP="004B592B">
      <w:pPr>
        <w:spacing w:after="0" w:line="240" w:lineRule="auto"/>
      </w:pPr>
      <w:r>
        <w:separator/>
      </w:r>
    </w:p>
  </w:footnote>
  <w:footnote w:type="continuationSeparator" w:id="0">
    <w:p w:rsidR="000448A2" w:rsidRDefault="000448A2" w:rsidP="004B59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92B" w:rsidRDefault="004B59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92B" w:rsidRDefault="004B592B">
    <w:pPr>
      <w:pStyle w:val="Header"/>
    </w:pPr>
    <w:r>
      <w:t>Report on the audit of the J.W. Construction Holding S.A. financial statement for the business year ending on December 31, 2014</w:t>
    </w:r>
  </w:p>
  <w:p w:rsidR="004B592B" w:rsidRDefault="004B59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92B" w:rsidRDefault="004B59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370DE"/>
    <w:multiLevelType w:val="hybridMultilevel"/>
    <w:tmpl w:val="1786C0D6"/>
    <w:lvl w:ilvl="0" w:tplc="C32A938E">
      <w:start w:val="1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612F96"/>
    <w:multiLevelType w:val="hybridMultilevel"/>
    <w:tmpl w:val="7CBCC35E"/>
    <w:lvl w:ilvl="0" w:tplc="AFF4C7E6">
      <w:start w:val="1"/>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F8D40EA"/>
    <w:multiLevelType w:val="hybridMultilevel"/>
    <w:tmpl w:val="AA86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D2896"/>
    <w:multiLevelType w:val="hybridMultilevel"/>
    <w:tmpl w:val="64DCDDB6"/>
    <w:lvl w:ilvl="0" w:tplc="2048E3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9D246F"/>
    <w:multiLevelType w:val="hybridMultilevel"/>
    <w:tmpl w:val="3156001C"/>
    <w:lvl w:ilvl="0" w:tplc="A2E015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B81481"/>
    <w:multiLevelType w:val="hybridMultilevel"/>
    <w:tmpl w:val="79065540"/>
    <w:lvl w:ilvl="0" w:tplc="430CA20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8270A4A"/>
    <w:multiLevelType w:val="hybridMultilevel"/>
    <w:tmpl w:val="AD6E0048"/>
    <w:lvl w:ilvl="0" w:tplc="53B6EA28">
      <w:start w:val="1"/>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ACF2C64"/>
    <w:multiLevelType w:val="hybridMultilevel"/>
    <w:tmpl w:val="E2D8257C"/>
    <w:lvl w:ilvl="0" w:tplc="DA96273E">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BB512DA"/>
    <w:multiLevelType w:val="hybridMultilevel"/>
    <w:tmpl w:val="BA56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DE2952"/>
    <w:multiLevelType w:val="hybridMultilevel"/>
    <w:tmpl w:val="FA9E4474"/>
    <w:lvl w:ilvl="0" w:tplc="7292E50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64264B47"/>
    <w:multiLevelType w:val="hybridMultilevel"/>
    <w:tmpl w:val="427E709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BB76F7E"/>
    <w:multiLevelType w:val="hybridMultilevel"/>
    <w:tmpl w:val="1672624A"/>
    <w:lvl w:ilvl="0" w:tplc="936AC07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11"/>
  </w:num>
  <w:num w:numId="4">
    <w:abstractNumId w:val="5"/>
  </w:num>
  <w:num w:numId="5">
    <w:abstractNumId w:val="10"/>
  </w:num>
  <w:num w:numId="6">
    <w:abstractNumId w:val="6"/>
  </w:num>
  <w:num w:numId="7">
    <w:abstractNumId w:val="1"/>
  </w:num>
  <w:num w:numId="8">
    <w:abstractNumId w:val="7"/>
  </w:num>
  <w:num w:numId="9">
    <w:abstractNumId w:val="9"/>
  </w:num>
  <w:num w:numId="10">
    <w:abstractNumId w:val="8"/>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characterSpacingControl w:val="doNotCompress"/>
  <w:footnotePr>
    <w:footnote w:id="-1"/>
    <w:footnote w:id="0"/>
  </w:footnotePr>
  <w:endnotePr>
    <w:endnote w:id="-1"/>
    <w:endnote w:id="0"/>
  </w:endnotePr>
  <w:compat/>
  <w:rsids>
    <w:rsidRoot w:val="007B0897"/>
    <w:rsid w:val="00030578"/>
    <w:rsid w:val="00040C28"/>
    <w:rsid w:val="000448A2"/>
    <w:rsid w:val="0006151A"/>
    <w:rsid w:val="000655F7"/>
    <w:rsid w:val="00090085"/>
    <w:rsid w:val="000B1F99"/>
    <w:rsid w:val="000D1EB3"/>
    <w:rsid w:val="0012174A"/>
    <w:rsid w:val="00131008"/>
    <w:rsid w:val="001351EB"/>
    <w:rsid w:val="00175FD6"/>
    <w:rsid w:val="001A135D"/>
    <w:rsid w:val="001B4A36"/>
    <w:rsid w:val="00270632"/>
    <w:rsid w:val="002C51D0"/>
    <w:rsid w:val="002C6AFC"/>
    <w:rsid w:val="002E6CA2"/>
    <w:rsid w:val="00330BDB"/>
    <w:rsid w:val="003724C1"/>
    <w:rsid w:val="00380C83"/>
    <w:rsid w:val="0038437F"/>
    <w:rsid w:val="00391376"/>
    <w:rsid w:val="003A2FB1"/>
    <w:rsid w:val="003B638F"/>
    <w:rsid w:val="003C5632"/>
    <w:rsid w:val="00453D15"/>
    <w:rsid w:val="00466AFF"/>
    <w:rsid w:val="00494D3F"/>
    <w:rsid w:val="004A7FF8"/>
    <w:rsid w:val="004B592B"/>
    <w:rsid w:val="004F2EB9"/>
    <w:rsid w:val="0050584B"/>
    <w:rsid w:val="005828C2"/>
    <w:rsid w:val="005D355C"/>
    <w:rsid w:val="00623604"/>
    <w:rsid w:val="006B389D"/>
    <w:rsid w:val="006E0949"/>
    <w:rsid w:val="00702F3C"/>
    <w:rsid w:val="007B0897"/>
    <w:rsid w:val="007D7842"/>
    <w:rsid w:val="00847D09"/>
    <w:rsid w:val="00891D9C"/>
    <w:rsid w:val="008A0433"/>
    <w:rsid w:val="008D5D34"/>
    <w:rsid w:val="008D78E4"/>
    <w:rsid w:val="008E0222"/>
    <w:rsid w:val="00900F20"/>
    <w:rsid w:val="00901447"/>
    <w:rsid w:val="00976790"/>
    <w:rsid w:val="00990AD6"/>
    <w:rsid w:val="009E3303"/>
    <w:rsid w:val="009E5350"/>
    <w:rsid w:val="00A35138"/>
    <w:rsid w:val="00A92873"/>
    <w:rsid w:val="00A95396"/>
    <w:rsid w:val="00A97DBB"/>
    <w:rsid w:val="00AF7AB0"/>
    <w:rsid w:val="00B16F3F"/>
    <w:rsid w:val="00B22F1E"/>
    <w:rsid w:val="00BB6831"/>
    <w:rsid w:val="00BE2448"/>
    <w:rsid w:val="00BE77DD"/>
    <w:rsid w:val="00C035F3"/>
    <w:rsid w:val="00C94D03"/>
    <w:rsid w:val="00CE43BA"/>
    <w:rsid w:val="00CF4370"/>
    <w:rsid w:val="00DB5350"/>
    <w:rsid w:val="00DF68A2"/>
    <w:rsid w:val="00E047D2"/>
    <w:rsid w:val="00E16C88"/>
    <w:rsid w:val="00E34088"/>
    <w:rsid w:val="00E461C0"/>
    <w:rsid w:val="00E75723"/>
    <w:rsid w:val="00E84D81"/>
    <w:rsid w:val="00EA5EDE"/>
    <w:rsid w:val="00EB545C"/>
    <w:rsid w:val="00EC12FC"/>
    <w:rsid w:val="00EE52AB"/>
    <w:rsid w:val="00F02AA2"/>
    <w:rsid w:val="00F21958"/>
    <w:rsid w:val="00F81194"/>
    <w:rsid w:val="00FB6D96"/>
    <w:rsid w:val="00FC2E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D3F"/>
    <w:pPr>
      <w:ind w:left="720"/>
      <w:contextualSpacing/>
    </w:pPr>
  </w:style>
  <w:style w:type="table" w:styleId="TableGrid">
    <w:name w:val="Table Grid"/>
    <w:basedOn w:val="TableNormal"/>
    <w:uiPriority w:val="59"/>
    <w:rsid w:val="00466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B5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92B"/>
  </w:style>
  <w:style w:type="paragraph" w:styleId="Footer">
    <w:name w:val="footer"/>
    <w:basedOn w:val="Normal"/>
    <w:link w:val="FooterChar"/>
    <w:uiPriority w:val="99"/>
    <w:semiHidden/>
    <w:unhideWhenUsed/>
    <w:rsid w:val="004B59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592B"/>
  </w:style>
  <w:style w:type="paragraph" w:styleId="BalloonText">
    <w:name w:val="Balloon Text"/>
    <w:basedOn w:val="Normal"/>
    <w:link w:val="BalloonTextChar"/>
    <w:uiPriority w:val="99"/>
    <w:semiHidden/>
    <w:unhideWhenUsed/>
    <w:rsid w:val="004B5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9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6563572">
      <w:bodyDiv w:val="1"/>
      <w:marLeft w:val="0"/>
      <w:marRight w:val="0"/>
      <w:marTop w:val="0"/>
      <w:marBottom w:val="0"/>
      <w:divBdr>
        <w:top w:val="none" w:sz="0" w:space="0" w:color="auto"/>
        <w:left w:val="none" w:sz="0" w:space="0" w:color="auto"/>
        <w:bottom w:val="none" w:sz="0" w:space="0" w:color="auto"/>
        <w:right w:val="none" w:sz="0" w:space="0" w:color="auto"/>
      </w:divBdr>
    </w:div>
    <w:div w:id="156186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AEBD0-5AB5-475D-88E9-138DFA934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14</Pages>
  <Words>2943</Words>
  <Characters>16777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 pyka</dc:creator>
  <cp:keywords/>
  <dc:description/>
  <cp:lastModifiedBy>tomek pyka</cp:lastModifiedBy>
  <cp:revision>30</cp:revision>
  <dcterms:created xsi:type="dcterms:W3CDTF">2015-04-02T06:17:00Z</dcterms:created>
  <dcterms:modified xsi:type="dcterms:W3CDTF">2015-04-04T10:31:00Z</dcterms:modified>
</cp:coreProperties>
</file>